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79E0" w14:textId="77777777" w:rsidR="005618D4" w:rsidRPr="001D322E" w:rsidRDefault="005618D4" w:rsidP="0011764C">
      <w:pPr>
        <w:pStyle w:val="ListParagraph"/>
        <w:numPr>
          <w:ilvl w:val="0"/>
          <w:numId w:val="15"/>
        </w:numPr>
        <w:ind w:left="900" w:hanging="450"/>
      </w:pPr>
      <w:r w:rsidRPr="001D322E">
        <w:rPr>
          <w:b/>
        </w:rPr>
        <w:t>Background</w:t>
      </w:r>
    </w:p>
    <w:p w14:paraId="44294AB6" w14:textId="77777777" w:rsidR="005618D4" w:rsidRPr="001D322E" w:rsidRDefault="005618D4" w:rsidP="0011764C">
      <w:pPr>
        <w:ind w:left="900" w:hanging="450"/>
      </w:pPr>
    </w:p>
    <w:p w14:paraId="7F23F4C4" w14:textId="1BCE5121" w:rsidR="005618D4" w:rsidRPr="001D322E" w:rsidRDefault="005618D4" w:rsidP="00955C25">
      <w:pPr>
        <w:ind w:left="900"/>
      </w:pPr>
      <w:r w:rsidRPr="001D322E">
        <w:t xml:space="preserve">The </w:t>
      </w:r>
      <w:r w:rsidR="00CE45CD">
        <w:t>agency receives</w:t>
      </w:r>
      <w:r w:rsidRPr="001D322E">
        <w:t xml:space="preserve"> grant</w:t>
      </w:r>
      <w:r w:rsidR="00CE45CD">
        <w:t xml:space="preserve"> and contract awards</w:t>
      </w:r>
      <w:r w:rsidRPr="001D322E">
        <w:t xml:space="preserve"> </w:t>
      </w:r>
      <w:r w:rsidR="00CE45CD">
        <w:t>to help fund its programs and activities</w:t>
      </w:r>
      <w:r w:rsidRPr="001D322E">
        <w:t>.</w:t>
      </w:r>
      <w:r w:rsidR="00CE45CD">
        <w:t xml:space="preserve">  These awards are sponsored agreements.</w:t>
      </w:r>
      <w:r w:rsidRPr="001D322E">
        <w:t xml:space="preserve">  </w:t>
      </w:r>
      <w:r w:rsidR="004F1172" w:rsidRPr="001D322E">
        <w:t xml:space="preserve">The majority of the awards are federal, </w:t>
      </w:r>
      <w:r w:rsidR="00CE45CD">
        <w:t>but there are</w:t>
      </w:r>
      <w:r w:rsidR="004F1172" w:rsidRPr="001D322E">
        <w:t xml:space="preserve"> also </w:t>
      </w:r>
      <w:r w:rsidR="00CE45CD">
        <w:t xml:space="preserve">some </w:t>
      </w:r>
      <w:r w:rsidR="004F1172" w:rsidRPr="001D322E">
        <w:t xml:space="preserve">state, local, </w:t>
      </w:r>
      <w:r w:rsidR="00CE45CD">
        <w:t xml:space="preserve">and </w:t>
      </w:r>
      <w:r w:rsidR="004F1172" w:rsidRPr="001D322E">
        <w:t xml:space="preserve">private awards.  </w:t>
      </w:r>
    </w:p>
    <w:p w14:paraId="2171FC70" w14:textId="50F2E9EF" w:rsidR="005618D4" w:rsidRDefault="005618D4">
      <w:pPr>
        <w:ind w:left="900" w:hanging="450"/>
        <w:rPr>
          <w:b/>
        </w:rPr>
      </w:pPr>
    </w:p>
    <w:p w14:paraId="120551B0" w14:textId="550B2425" w:rsidR="000964E5" w:rsidRDefault="000964E5" w:rsidP="0011764C">
      <w:pPr>
        <w:ind w:left="900" w:hanging="450"/>
        <w:rPr>
          <w:b/>
        </w:rPr>
      </w:pPr>
      <w:r>
        <w:rPr>
          <w:b/>
        </w:rPr>
        <w:t>2.</w:t>
      </w:r>
      <w:r>
        <w:rPr>
          <w:b/>
        </w:rPr>
        <w:tab/>
        <w:t>Responsibilit</w:t>
      </w:r>
      <w:r w:rsidR="00BD0D72">
        <w:rPr>
          <w:b/>
        </w:rPr>
        <w:t>ies</w:t>
      </w:r>
    </w:p>
    <w:p w14:paraId="2066471C" w14:textId="0EC2C4CF" w:rsidR="000964E5" w:rsidRDefault="000964E5">
      <w:pPr>
        <w:ind w:left="900" w:hanging="450"/>
        <w:rPr>
          <w:b/>
        </w:rPr>
      </w:pPr>
    </w:p>
    <w:p w14:paraId="1D674DFE" w14:textId="27769262" w:rsidR="00BD0D72" w:rsidRDefault="000964E5">
      <w:pPr>
        <w:ind w:left="900" w:hanging="450"/>
      </w:pPr>
      <w:r>
        <w:rPr>
          <w:b/>
        </w:rPr>
        <w:tab/>
      </w:r>
      <w:r w:rsidRPr="001D322E">
        <w:t>The grants administrator is responsible for administering all sponsored agreements (including Excepted Research Projects) for the agency.</w:t>
      </w:r>
      <w:r>
        <w:t xml:space="preserve">  </w:t>
      </w:r>
    </w:p>
    <w:p w14:paraId="55B13EB1" w14:textId="77777777" w:rsidR="00BD0D72" w:rsidRDefault="00BD0D72">
      <w:pPr>
        <w:ind w:left="900" w:hanging="450"/>
      </w:pPr>
    </w:p>
    <w:p w14:paraId="6104DF30" w14:textId="1F27D208" w:rsidR="000964E5" w:rsidRDefault="000964E5" w:rsidP="00955C25">
      <w:pPr>
        <w:ind w:left="900"/>
      </w:pPr>
      <w:r>
        <w:t>The agency is responsible for having written standards for the following area:</w:t>
      </w:r>
    </w:p>
    <w:p w14:paraId="62C54330" w14:textId="0EE4F1C2" w:rsidR="000964E5" w:rsidRPr="00955C25" w:rsidRDefault="000964E5" w:rsidP="00955C25">
      <w:pPr>
        <w:pStyle w:val="ListParagraph"/>
        <w:numPr>
          <w:ilvl w:val="0"/>
          <w:numId w:val="17"/>
        </w:numPr>
        <w:ind w:left="1530"/>
      </w:pPr>
      <w:r w:rsidRPr="00955C25">
        <w:t>Preparation, approval, and submission of proposals for sponsored agreements;</w:t>
      </w:r>
    </w:p>
    <w:p w14:paraId="6036968B" w14:textId="001B585A" w:rsidR="000964E5" w:rsidRDefault="000964E5" w:rsidP="00955C25">
      <w:pPr>
        <w:pStyle w:val="ListParagraph"/>
        <w:numPr>
          <w:ilvl w:val="0"/>
          <w:numId w:val="17"/>
        </w:numPr>
        <w:ind w:left="1530"/>
      </w:pPr>
      <w:r>
        <w:t>Negotiation and acceptance of sponsored agreements;</w:t>
      </w:r>
    </w:p>
    <w:p w14:paraId="27CA321F" w14:textId="34192301" w:rsidR="000964E5" w:rsidRDefault="000964E5" w:rsidP="00955C25">
      <w:pPr>
        <w:pStyle w:val="ListParagraph"/>
        <w:numPr>
          <w:ilvl w:val="0"/>
          <w:numId w:val="17"/>
        </w:numPr>
        <w:ind w:left="1530"/>
      </w:pPr>
      <w:r>
        <w:t xml:space="preserve">Determination of allowability of costs on </w:t>
      </w:r>
      <w:r w:rsidR="00C23C09">
        <w:t>sponsored</w:t>
      </w:r>
      <w:r>
        <w:t xml:space="preserve"> agreements;</w:t>
      </w:r>
    </w:p>
    <w:p w14:paraId="58BF6D30" w14:textId="43609A95" w:rsidR="000964E5" w:rsidRDefault="00B52414" w:rsidP="00955C25">
      <w:pPr>
        <w:pStyle w:val="ListParagraph"/>
        <w:numPr>
          <w:ilvl w:val="0"/>
          <w:numId w:val="17"/>
        </w:numPr>
        <w:ind w:left="1530"/>
      </w:pPr>
      <w:r>
        <w:t>Documentation</w:t>
      </w:r>
      <w:r w:rsidR="000964E5">
        <w:t xml:space="preserve"> of costs charged to sponsored agreements;</w:t>
      </w:r>
    </w:p>
    <w:p w14:paraId="4E14E3E2" w14:textId="4CE7ADA3" w:rsidR="000964E5" w:rsidRDefault="000964E5" w:rsidP="00955C25">
      <w:pPr>
        <w:pStyle w:val="ListParagraph"/>
        <w:numPr>
          <w:ilvl w:val="0"/>
          <w:numId w:val="17"/>
        </w:numPr>
        <w:ind w:left="1530"/>
      </w:pPr>
      <w:r>
        <w:t>Recovery of all Facilities &amp; Administrative (F&amp;A) costs, based on rates approved by the federal cognizant agency</w:t>
      </w:r>
      <w:r w:rsidR="00C23C09">
        <w:t>;</w:t>
      </w:r>
    </w:p>
    <w:p w14:paraId="77C09860" w14:textId="6EFD2D3D" w:rsidR="000964E5" w:rsidRDefault="000964E5" w:rsidP="00955C25">
      <w:pPr>
        <w:pStyle w:val="ListParagraph"/>
        <w:numPr>
          <w:ilvl w:val="0"/>
          <w:numId w:val="17"/>
        </w:numPr>
        <w:ind w:left="1530"/>
      </w:pPr>
      <w:r>
        <w:t xml:space="preserve">Documentation and other aspects of cost sharing; and </w:t>
      </w:r>
    </w:p>
    <w:p w14:paraId="1001400F" w14:textId="01BD7400" w:rsidR="000964E5" w:rsidRDefault="00C23C09" w:rsidP="00955C25">
      <w:pPr>
        <w:pStyle w:val="ListParagraph"/>
        <w:numPr>
          <w:ilvl w:val="0"/>
          <w:numId w:val="17"/>
        </w:numPr>
        <w:ind w:left="1530"/>
      </w:pPr>
      <w:r>
        <w:t xml:space="preserve">ownership, management, and use of data and project results arising from the performance of sponsored agreements, consistent with System Policy </w:t>
      </w:r>
      <w:r w:rsidRPr="00955C25">
        <w:rPr>
          <w:i/>
          <w:iCs/>
        </w:rPr>
        <w:t>17.01 Intellectual Property Management and Commercialization</w:t>
      </w:r>
      <w:r>
        <w:t>.</w:t>
      </w:r>
    </w:p>
    <w:p w14:paraId="2797C787" w14:textId="0BBEF893" w:rsidR="00C23C09" w:rsidRDefault="00C23C09">
      <w:pPr>
        <w:ind w:left="900" w:hanging="450"/>
      </w:pPr>
    </w:p>
    <w:p w14:paraId="3852E4F0" w14:textId="5C17DAC5" w:rsidR="00BD0D72" w:rsidRDefault="00BD0D72">
      <w:pPr>
        <w:ind w:left="900" w:hanging="450"/>
      </w:pPr>
      <w:r>
        <w:tab/>
        <w:t>The</w:t>
      </w:r>
      <w:r w:rsidR="00CE45CD">
        <w:t xml:space="preserve"> following</w:t>
      </w:r>
      <w:r>
        <w:t xml:space="preserve"> guidelines document the agency’s standards.</w:t>
      </w:r>
    </w:p>
    <w:p w14:paraId="57989E1E" w14:textId="77777777" w:rsidR="00BD0D72" w:rsidRPr="00955C25" w:rsidRDefault="00BD0D72">
      <w:pPr>
        <w:ind w:left="900" w:hanging="450"/>
      </w:pPr>
    </w:p>
    <w:p w14:paraId="2CEE2AA2" w14:textId="77777777" w:rsidR="005618D4" w:rsidRPr="001D322E" w:rsidRDefault="005618D4" w:rsidP="00955C25">
      <w:pPr>
        <w:pStyle w:val="ListParagraph"/>
        <w:numPr>
          <w:ilvl w:val="0"/>
          <w:numId w:val="16"/>
        </w:numPr>
      </w:pPr>
      <w:r w:rsidRPr="001D322E">
        <w:rPr>
          <w:b/>
        </w:rPr>
        <w:t>Proposal Preparation</w:t>
      </w:r>
    </w:p>
    <w:p w14:paraId="47E64971" w14:textId="77777777" w:rsidR="005618D4" w:rsidRPr="001D322E" w:rsidRDefault="005618D4">
      <w:pPr>
        <w:ind w:left="900" w:hanging="450"/>
      </w:pPr>
    </w:p>
    <w:p w14:paraId="689C3D8E" w14:textId="5E9E5A27" w:rsidR="005618D4" w:rsidRPr="001D322E" w:rsidRDefault="005618D4" w:rsidP="00955C25">
      <w:pPr>
        <w:ind w:left="900"/>
      </w:pPr>
      <w:r w:rsidRPr="001D322E">
        <w:t xml:space="preserve">Proposals </w:t>
      </w:r>
      <w:r w:rsidR="00DE36AC" w:rsidRPr="001D322E">
        <w:t xml:space="preserve">(including applications) </w:t>
      </w:r>
      <w:r w:rsidRPr="001D322E">
        <w:t xml:space="preserve">are prepared by </w:t>
      </w:r>
      <w:r w:rsidR="00DE36AC" w:rsidRPr="001D322E">
        <w:t>p</w:t>
      </w:r>
      <w:r w:rsidRPr="001D322E">
        <w:t xml:space="preserve">roject </w:t>
      </w:r>
      <w:r w:rsidR="00DE36AC" w:rsidRPr="001D322E">
        <w:t>l</w:t>
      </w:r>
      <w:r w:rsidRPr="001D322E">
        <w:t>eaders (</w:t>
      </w:r>
      <w:r w:rsidR="00DE36AC" w:rsidRPr="001D322E">
        <w:t>p</w:t>
      </w:r>
      <w:r w:rsidRPr="001D322E">
        <w:t xml:space="preserve">rincipal </w:t>
      </w:r>
      <w:r w:rsidR="00DE36AC" w:rsidRPr="001D322E">
        <w:t>i</w:t>
      </w:r>
      <w:r w:rsidRPr="001D322E">
        <w:t xml:space="preserve">nvestigators) and routed to the relevant </w:t>
      </w:r>
      <w:r w:rsidR="00DE36AC" w:rsidRPr="001D322E">
        <w:t>a</w:t>
      </w:r>
      <w:r w:rsidRPr="001D322E">
        <w:t xml:space="preserve">ssociate </w:t>
      </w:r>
      <w:r w:rsidR="00DE36AC" w:rsidRPr="001D322E">
        <w:t>d</w:t>
      </w:r>
      <w:r w:rsidRPr="001D322E">
        <w:t xml:space="preserve">irector or designee </w:t>
      </w:r>
      <w:r w:rsidR="00DE36AC" w:rsidRPr="001D322E">
        <w:t>and to</w:t>
      </w:r>
      <w:r w:rsidRPr="001D322E">
        <w:t xml:space="preserve"> the grants administrator.  The </w:t>
      </w:r>
      <w:r w:rsidR="00DE36AC" w:rsidRPr="001D322E">
        <w:t>a</w:t>
      </w:r>
      <w:r w:rsidRPr="001D322E">
        <w:t xml:space="preserve">ssociate </w:t>
      </w:r>
      <w:r w:rsidR="00DE36AC" w:rsidRPr="001D322E">
        <w:t>d</w:t>
      </w:r>
      <w:r w:rsidRPr="001D322E">
        <w:t xml:space="preserve">irector or designee reviews the proposal and notifies the grants administrator that he/she has approved the proposal for submission.  The grants administrator reviews the proposals, ensuring that the budgets are prepared correctly and that </w:t>
      </w:r>
      <w:r w:rsidR="00377028" w:rsidRPr="001D322E">
        <w:t xml:space="preserve">the </w:t>
      </w:r>
      <w:r w:rsidRPr="001D322E">
        <w:t xml:space="preserve">match sources are identified and available for the proposal.  The grants administrator prepares any required application forms as well as a routing sheet for each proposal.  The routing sheet provides a quick, financial overview of the project.  The routing sheet is </w:t>
      </w:r>
      <w:r w:rsidR="00DE36AC" w:rsidRPr="001D322E">
        <w:t xml:space="preserve">reviewed and </w:t>
      </w:r>
      <w:r w:rsidRPr="001D322E">
        <w:t>signed by the grants administrator</w:t>
      </w:r>
      <w:r w:rsidR="00BD0D72">
        <w:t>,</w:t>
      </w:r>
      <w:r w:rsidRPr="001D322E">
        <w:t xml:space="preserve"> the </w:t>
      </w:r>
      <w:r w:rsidR="00BD0D72">
        <w:t>Associate Director for Finance and Administration (ADFA) and</w:t>
      </w:r>
      <w:r w:rsidRPr="001D322E">
        <w:t xml:space="preserve"> the Director.  </w:t>
      </w:r>
      <w:r w:rsidR="00CE45CD">
        <w:t xml:space="preserve">The Director also signs all required signature pages in the proposal package.  </w:t>
      </w:r>
      <w:r w:rsidR="00BD0D72" w:rsidRPr="001D322E">
        <w:t xml:space="preserve">The grants administrator submits the approved </w:t>
      </w:r>
      <w:r w:rsidR="00BD0D72">
        <w:t>proposal</w:t>
      </w:r>
      <w:r w:rsidR="00BD0D72" w:rsidRPr="001D322E">
        <w:t xml:space="preserve"> (electronic or hard copy) to the funding agency.  Both electronic and hard copies are retained by the grants administrator.</w:t>
      </w:r>
    </w:p>
    <w:p w14:paraId="4CF251B1" w14:textId="77777777" w:rsidR="005618D4" w:rsidRPr="001D322E" w:rsidRDefault="005618D4">
      <w:pPr>
        <w:ind w:left="900" w:hanging="450"/>
        <w:rPr>
          <w:b/>
        </w:rPr>
      </w:pPr>
    </w:p>
    <w:p w14:paraId="629037FF" w14:textId="77777777" w:rsidR="00232EB5" w:rsidRDefault="00232EB5">
      <w:pPr>
        <w:rPr>
          <w:b/>
        </w:rPr>
      </w:pPr>
      <w:r>
        <w:rPr>
          <w:b/>
        </w:rPr>
        <w:br w:type="page"/>
      </w:r>
    </w:p>
    <w:p w14:paraId="0734DCBB" w14:textId="4A1D569A" w:rsidR="005618D4" w:rsidRPr="001D322E" w:rsidRDefault="005618D4" w:rsidP="00955C25">
      <w:pPr>
        <w:pStyle w:val="ListParagraph"/>
        <w:numPr>
          <w:ilvl w:val="0"/>
          <w:numId w:val="16"/>
        </w:numPr>
        <w:ind w:left="900" w:hanging="450"/>
      </w:pPr>
      <w:r w:rsidRPr="001D322E">
        <w:rPr>
          <w:b/>
        </w:rPr>
        <w:lastRenderedPageBreak/>
        <w:t>Contract Negotiations</w:t>
      </w:r>
    </w:p>
    <w:p w14:paraId="120494DA" w14:textId="77777777" w:rsidR="005618D4" w:rsidRPr="001D322E" w:rsidRDefault="005618D4">
      <w:pPr>
        <w:ind w:left="900" w:hanging="450"/>
      </w:pPr>
    </w:p>
    <w:p w14:paraId="54CF3B65" w14:textId="7BF575C4" w:rsidR="005618D4" w:rsidRPr="001D322E" w:rsidRDefault="005618D4" w:rsidP="00955C25">
      <w:pPr>
        <w:ind w:left="900"/>
      </w:pPr>
      <w:r w:rsidRPr="001D322E">
        <w:t>Contract negotiations involve a coordinated effort between the grants administrator, the contracts officer, the project leader, and funding agency.</w:t>
      </w:r>
      <w:r w:rsidR="00DE36AC" w:rsidRPr="001D322E">
        <w:t xml:space="preserve">  Guidance is sought from the </w:t>
      </w:r>
      <w:r w:rsidR="00BD0D72">
        <w:t>ADFA</w:t>
      </w:r>
      <w:r w:rsidR="00DE36AC" w:rsidRPr="001D322E">
        <w:t xml:space="preserve"> as needed.</w:t>
      </w:r>
    </w:p>
    <w:p w14:paraId="2D26877B" w14:textId="77777777" w:rsidR="005618D4" w:rsidRPr="001D322E" w:rsidRDefault="005618D4">
      <w:pPr>
        <w:ind w:left="900" w:hanging="450"/>
        <w:rPr>
          <w:b/>
        </w:rPr>
      </w:pPr>
    </w:p>
    <w:p w14:paraId="3A2841D7" w14:textId="77777777" w:rsidR="005618D4" w:rsidRPr="001D322E" w:rsidRDefault="005618D4" w:rsidP="00955C25">
      <w:pPr>
        <w:pStyle w:val="ListParagraph"/>
        <w:numPr>
          <w:ilvl w:val="0"/>
          <w:numId w:val="16"/>
        </w:numPr>
        <w:ind w:left="900" w:hanging="450"/>
      </w:pPr>
      <w:r w:rsidRPr="001D322E">
        <w:rPr>
          <w:b/>
        </w:rPr>
        <w:t>Project Modifications</w:t>
      </w:r>
    </w:p>
    <w:p w14:paraId="3572ABE0" w14:textId="77777777" w:rsidR="005618D4" w:rsidRPr="001D322E" w:rsidRDefault="005618D4">
      <w:pPr>
        <w:ind w:left="900" w:hanging="450"/>
      </w:pPr>
    </w:p>
    <w:p w14:paraId="0B3870E4" w14:textId="77777777" w:rsidR="005618D4" w:rsidRPr="001D322E" w:rsidRDefault="005618D4" w:rsidP="00955C25">
      <w:pPr>
        <w:ind w:left="900"/>
      </w:pPr>
      <w:r w:rsidRPr="001D322E">
        <w:t xml:space="preserve">Whenever modifications become necessary, the </w:t>
      </w:r>
      <w:r w:rsidR="00DE36AC" w:rsidRPr="001D322E">
        <w:t>p</w:t>
      </w:r>
      <w:r w:rsidRPr="001D322E">
        <w:t xml:space="preserve">roject </w:t>
      </w:r>
      <w:r w:rsidR="00DE36AC" w:rsidRPr="001D322E">
        <w:t>l</w:t>
      </w:r>
      <w:r w:rsidRPr="001D322E">
        <w:t>eader provides the grants administrator with the following</w:t>
      </w:r>
      <w:r w:rsidR="00377028" w:rsidRPr="001D322E">
        <w:t xml:space="preserve"> (as applicable)</w:t>
      </w:r>
      <w:r w:rsidRPr="001D322E">
        <w:t xml:space="preserve">: 1) revised budget, 2) </w:t>
      </w:r>
      <w:r w:rsidR="00B01D81" w:rsidRPr="001D322E">
        <w:t xml:space="preserve">revised narrative for changes in scope, and 3) </w:t>
      </w:r>
      <w:r w:rsidRPr="001D322E">
        <w:t xml:space="preserve">justification statement for </w:t>
      </w:r>
      <w:r w:rsidR="00B01D81" w:rsidRPr="001D322E">
        <w:t>proposed revisions</w:t>
      </w:r>
      <w:r w:rsidRPr="001D322E">
        <w:t xml:space="preserve">.  Substantive changes to the project are sent to the </w:t>
      </w:r>
      <w:r w:rsidR="00B01D81" w:rsidRPr="001D322E">
        <w:t>applicable a</w:t>
      </w:r>
      <w:r w:rsidRPr="001D322E">
        <w:t xml:space="preserve">ssociate </w:t>
      </w:r>
      <w:r w:rsidR="00B01D81" w:rsidRPr="001D322E">
        <w:t>d</w:t>
      </w:r>
      <w:r w:rsidRPr="001D322E">
        <w:t xml:space="preserve">irector or designee for approval.  </w:t>
      </w:r>
    </w:p>
    <w:p w14:paraId="0F4F9D5E" w14:textId="77777777" w:rsidR="005618D4" w:rsidRPr="001D322E" w:rsidRDefault="005618D4">
      <w:pPr>
        <w:ind w:left="900" w:hanging="450"/>
      </w:pPr>
    </w:p>
    <w:p w14:paraId="7C54DE03" w14:textId="12B3CAC1" w:rsidR="005618D4" w:rsidRPr="001D322E" w:rsidRDefault="005618D4" w:rsidP="00955C25">
      <w:pPr>
        <w:ind w:left="900"/>
      </w:pPr>
      <w:r w:rsidRPr="001D322E">
        <w:t xml:space="preserve">The grants administrator prepares the </w:t>
      </w:r>
      <w:r w:rsidR="00B01D81" w:rsidRPr="001D322E">
        <w:t xml:space="preserve">required </w:t>
      </w:r>
      <w:r w:rsidRPr="001D322E">
        <w:t xml:space="preserve">modification paperwork and routes it to the Director for </w:t>
      </w:r>
      <w:r w:rsidR="00B01D81" w:rsidRPr="001D322E">
        <w:t>approval</w:t>
      </w:r>
      <w:r w:rsidRPr="001D322E">
        <w:t xml:space="preserve">. </w:t>
      </w:r>
      <w:r w:rsidR="00B01D81" w:rsidRPr="001D322E">
        <w:t xml:space="preserve"> T</w:t>
      </w:r>
      <w:r w:rsidRPr="001D322E">
        <w:t>he grants administrator submits the</w:t>
      </w:r>
      <w:r w:rsidR="00377028" w:rsidRPr="001D322E">
        <w:t xml:space="preserve"> approved</w:t>
      </w:r>
      <w:r w:rsidRPr="001D322E">
        <w:t xml:space="preserve"> modification </w:t>
      </w:r>
      <w:r w:rsidR="00377028" w:rsidRPr="001D322E">
        <w:t xml:space="preserve">request </w:t>
      </w:r>
      <w:r w:rsidRPr="001D322E">
        <w:t>(</w:t>
      </w:r>
      <w:r w:rsidR="004F1172" w:rsidRPr="001D322E">
        <w:t>electronic</w:t>
      </w:r>
      <w:r w:rsidRPr="001D322E">
        <w:t xml:space="preserve"> or hard copy) to the funding agency.  Both electronic and hard copies are retained </w:t>
      </w:r>
      <w:r w:rsidR="00B01D81" w:rsidRPr="001D322E">
        <w:t>by</w:t>
      </w:r>
      <w:r w:rsidRPr="001D322E">
        <w:t xml:space="preserve"> the </w:t>
      </w:r>
      <w:r w:rsidR="00B01D81" w:rsidRPr="001D322E">
        <w:t>g</w:t>
      </w:r>
      <w:r w:rsidRPr="001D322E">
        <w:t xml:space="preserve">rants </w:t>
      </w:r>
      <w:r w:rsidR="00B01D81" w:rsidRPr="001D322E">
        <w:t>a</w:t>
      </w:r>
      <w:r w:rsidRPr="001D322E">
        <w:t>dministrat</w:t>
      </w:r>
      <w:r w:rsidR="00B01D81" w:rsidRPr="001D322E">
        <w:t>or</w:t>
      </w:r>
      <w:r w:rsidRPr="001D322E">
        <w:t>.</w:t>
      </w:r>
    </w:p>
    <w:p w14:paraId="5ED60223" w14:textId="77777777" w:rsidR="005618D4" w:rsidRPr="001D322E" w:rsidRDefault="005618D4">
      <w:pPr>
        <w:ind w:left="900" w:hanging="450"/>
        <w:rPr>
          <w:b/>
        </w:rPr>
      </w:pPr>
    </w:p>
    <w:p w14:paraId="531CEC07" w14:textId="77777777" w:rsidR="005618D4" w:rsidRPr="001D322E" w:rsidRDefault="005618D4" w:rsidP="00955C25">
      <w:pPr>
        <w:pStyle w:val="ListParagraph"/>
        <w:numPr>
          <w:ilvl w:val="0"/>
          <w:numId w:val="16"/>
        </w:numPr>
        <w:ind w:left="900" w:hanging="450"/>
      </w:pPr>
      <w:r w:rsidRPr="001D322E">
        <w:rPr>
          <w:b/>
        </w:rPr>
        <w:t>Research Compliance</w:t>
      </w:r>
    </w:p>
    <w:p w14:paraId="1797B74A" w14:textId="77777777" w:rsidR="005618D4" w:rsidRPr="001D322E" w:rsidRDefault="005618D4">
      <w:pPr>
        <w:ind w:left="900" w:hanging="450"/>
      </w:pPr>
    </w:p>
    <w:p w14:paraId="325F5731" w14:textId="49DCBBDF" w:rsidR="005618D4" w:rsidRPr="001D322E" w:rsidRDefault="00B52414" w:rsidP="00955C25">
      <w:pPr>
        <w:ind w:left="900"/>
      </w:pPr>
      <w:r>
        <w:t xml:space="preserve">The agency </w:t>
      </w:r>
      <w:r w:rsidR="005618D4" w:rsidRPr="001D322E">
        <w:t xml:space="preserve">is primarily a service agency and performs very little research.  When research is performed, </w:t>
      </w:r>
      <w:r w:rsidR="00B01D81" w:rsidRPr="001D322E">
        <w:t xml:space="preserve">it does not involve animals or human subjects.  The </w:t>
      </w:r>
      <w:r w:rsidR="00243E63">
        <w:t xml:space="preserve">agency’s </w:t>
      </w:r>
      <w:r w:rsidR="00B01D81" w:rsidRPr="001D322E">
        <w:t xml:space="preserve">research activities </w:t>
      </w:r>
      <w:r>
        <w:t>are</w:t>
      </w:r>
      <w:r w:rsidR="00B01D81" w:rsidRPr="001D322E">
        <w:t xml:space="preserve"> relate</w:t>
      </w:r>
      <w:r>
        <w:t>d</w:t>
      </w:r>
      <w:r w:rsidR="00B01D81" w:rsidRPr="001D322E">
        <w:t xml:space="preserve"> to forest inventory data collection and analysis,</w:t>
      </w:r>
      <w:r w:rsidR="00BD0D72">
        <w:t xml:space="preserve"> tree improvement,</w:t>
      </w:r>
      <w:r w:rsidR="00B01D81" w:rsidRPr="001D322E">
        <w:t xml:space="preserve"> and forest pest management</w:t>
      </w:r>
      <w:r w:rsidR="005618D4" w:rsidRPr="001D322E">
        <w:t xml:space="preserve">.  Should a research compliance issue arise, </w:t>
      </w:r>
      <w:r w:rsidR="00B01D81" w:rsidRPr="001D322E">
        <w:t xml:space="preserve">it </w:t>
      </w:r>
      <w:r w:rsidR="004F1172" w:rsidRPr="001D322E">
        <w:t>would be</w:t>
      </w:r>
      <w:r w:rsidR="00B01D81" w:rsidRPr="001D322E">
        <w:t xml:space="preserve"> handled by the agency’s </w:t>
      </w:r>
      <w:r w:rsidR="00BD0D72">
        <w:t xml:space="preserve">designated </w:t>
      </w:r>
      <w:r w:rsidR="00B01D81" w:rsidRPr="001D322E">
        <w:t xml:space="preserve">chief research officer with assistance from </w:t>
      </w:r>
      <w:r w:rsidR="005618D4" w:rsidRPr="001D322E">
        <w:t>AgriLife</w:t>
      </w:r>
      <w:r w:rsidR="00B01D81" w:rsidRPr="001D322E">
        <w:t>, as needed</w:t>
      </w:r>
      <w:r w:rsidR="005618D4" w:rsidRPr="001D322E">
        <w:t>.</w:t>
      </w:r>
    </w:p>
    <w:p w14:paraId="0EA0CD51" w14:textId="77777777" w:rsidR="005618D4" w:rsidRPr="001D322E" w:rsidRDefault="005618D4">
      <w:pPr>
        <w:ind w:left="900" w:hanging="450"/>
        <w:rPr>
          <w:b/>
        </w:rPr>
      </w:pPr>
    </w:p>
    <w:p w14:paraId="49F16016" w14:textId="77777777" w:rsidR="005618D4" w:rsidRPr="001D322E" w:rsidRDefault="005618D4" w:rsidP="00955C25">
      <w:pPr>
        <w:pStyle w:val="ListParagraph"/>
        <w:numPr>
          <w:ilvl w:val="0"/>
          <w:numId w:val="16"/>
        </w:numPr>
        <w:ind w:left="900" w:hanging="450"/>
      </w:pPr>
      <w:r w:rsidRPr="001D322E">
        <w:rPr>
          <w:b/>
        </w:rPr>
        <w:t>Project Setup</w:t>
      </w:r>
    </w:p>
    <w:p w14:paraId="4C0006A8" w14:textId="77777777" w:rsidR="005618D4" w:rsidRPr="001D322E" w:rsidRDefault="005618D4">
      <w:pPr>
        <w:ind w:left="900" w:hanging="450"/>
      </w:pPr>
    </w:p>
    <w:p w14:paraId="380C2CA1" w14:textId="77777777" w:rsidR="005618D4" w:rsidRPr="001D322E" w:rsidRDefault="005618D4">
      <w:pPr>
        <w:ind w:left="900"/>
      </w:pPr>
      <w:r w:rsidRPr="001D322E">
        <w:t>Grant accounts are set up in the following account ranges:</w:t>
      </w:r>
    </w:p>
    <w:p w14:paraId="4618EEE9" w14:textId="0277241D" w:rsidR="005618D4" w:rsidRDefault="005618D4">
      <w:pPr>
        <w:ind w:left="900" w:hanging="450"/>
        <w:rPr>
          <w:u w:val="single"/>
        </w:rPr>
      </w:pPr>
    </w:p>
    <w:tbl>
      <w:tblPr>
        <w:tblStyle w:val="TableGrid"/>
        <w:tblW w:w="0" w:type="auto"/>
        <w:tblInd w:w="900" w:type="dxa"/>
        <w:tblLook w:val="04A0" w:firstRow="1" w:lastRow="0" w:firstColumn="1" w:lastColumn="0" w:noHBand="0" w:noVBand="1"/>
      </w:tblPr>
      <w:tblGrid>
        <w:gridCol w:w="917"/>
        <w:gridCol w:w="2234"/>
        <w:gridCol w:w="2244"/>
        <w:gridCol w:w="1620"/>
        <w:gridCol w:w="1435"/>
      </w:tblGrid>
      <w:tr w:rsidR="00BD0D72" w14:paraId="208EFC75" w14:textId="77777777" w:rsidTr="00955C25">
        <w:tc>
          <w:tcPr>
            <w:tcW w:w="917" w:type="dxa"/>
            <w:vAlign w:val="bottom"/>
          </w:tcPr>
          <w:p w14:paraId="1C37C5E3" w14:textId="039F99EF" w:rsidR="00BD0D72" w:rsidRPr="00955C25" w:rsidRDefault="00BD0D72" w:rsidP="00955C25">
            <w:pPr>
              <w:jc w:val="center"/>
              <w:rPr>
                <w:b/>
                <w:sz w:val="20"/>
                <w:szCs w:val="20"/>
                <w:u w:val="single"/>
              </w:rPr>
            </w:pPr>
            <w:r w:rsidRPr="00955C25">
              <w:rPr>
                <w:b/>
                <w:sz w:val="20"/>
                <w:szCs w:val="20"/>
                <w:u w:val="single"/>
              </w:rPr>
              <w:t>Division</w:t>
            </w:r>
          </w:p>
        </w:tc>
        <w:tc>
          <w:tcPr>
            <w:tcW w:w="2234" w:type="dxa"/>
            <w:vAlign w:val="bottom"/>
          </w:tcPr>
          <w:p w14:paraId="6FDE86F2" w14:textId="11E627CD" w:rsidR="00BD0D72" w:rsidRPr="00955C25" w:rsidRDefault="00BD0D72" w:rsidP="00955C25">
            <w:pPr>
              <w:jc w:val="center"/>
              <w:rPr>
                <w:b/>
                <w:sz w:val="20"/>
                <w:szCs w:val="20"/>
                <w:u w:val="single"/>
              </w:rPr>
            </w:pPr>
            <w:r w:rsidRPr="00955C25">
              <w:rPr>
                <w:b/>
                <w:sz w:val="20"/>
                <w:szCs w:val="20"/>
                <w:u w:val="single"/>
              </w:rPr>
              <w:t>Type</w:t>
            </w:r>
          </w:p>
        </w:tc>
        <w:tc>
          <w:tcPr>
            <w:tcW w:w="2244" w:type="dxa"/>
            <w:vAlign w:val="bottom"/>
          </w:tcPr>
          <w:p w14:paraId="22AF4785" w14:textId="5E9C6777" w:rsidR="00BD0D72" w:rsidRPr="00955C25" w:rsidRDefault="00BD0D72" w:rsidP="00955C25">
            <w:pPr>
              <w:jc w:val="center"/>
              <w:rPr>
                <w:b/>
                <w:sz w:val="20"/>
                <w:szCs w:val="20"/>
                <w:u w:val="single"/>
              </w:rPr>
            </w:pPr>
            <w:r w:rsidRPr="00955C25">
              <w:rPr>
                <w:b/>
                <w:sz w:val="20"/>
                <w:szCs w:val="20"/>
                <w:u w:val="single"/>
              </w:rPr>
              <w:t>Formula (Entitlement) Grants-Federal</w:t>
            </w:r>
          </w:p>
        </w:tc>
        <w:tc>
          <w:tcPr>
            <w:tcW w:w="1620" w:type="dxa"/>
            <w:vAlign w:val="bottom"/>
          </w:tcPr>
          <w:p w14:paraId="395779AE" w14:textId="51658B04" w:rsidR="00BD0D72" w:rsidRPr="00955C25" w:rsidRDefault="00BD0D72" w:rsidP="00955C25">
            <w:pPr>
              <w:jc w:val="center"/>
              <w:rPr>
                <w:b/>
                <w:sz w:val="20"/>
                <w:szCs w:val="20"/>
                <w:u w:val="single"/>
              </w:rPr>
            </w:pPr>
            <w:r w:rsidRPr="00955C25">
              <w:rPr>
                <w:b/>
                <w:sz w:val="20"/>
                <w:szCs w:val="20"/>
                <w:u w:val="single"/>
              </w:rPr>
              <w:t>Non-formula Grants-Federal</w:t>
            </w:r>
          </w:p>
        </w:tc>
        <w:tc>
          <w:tcPr>
            <w:tcW w:w="1435" w:type="dxa"/>
            <w:vAlign w:val="bottom"/>
          </w:tcPr>
          <w:p w14:paraId="6BE3E32C" w14:textId="786874C5" w:rsidR="00BD0D72" w:rsidRPr="00955C25" w:rsidRDefault="00BD0D72" w:rsidP="00955C25">
            <w:pPr>
              <w:jc w:val="center"/>
              <w:rPr>
                <w:b/>
                <w:sz w:val="20"/>
                <w:szCs w:val="20"/>
                <w:u w:val="single"/>
              </w:rPr>
            </w:pPr>
            <w:r w:rsidRPr="00955C25">
              <w:rPr>
                <w:b/>
                <w:sz w:val="20"/>
                <w:szCs w:val="20"/>
                <w:u w:val="single"/>
              </w:rPr>
              <w:t>Non-formula Grants-Local</w:t>
            </w:r>
          </w:p>
        </w:tc>
      </w:tr>
      <w:tr w:rsidR="00CE45CD" w14:paraId="6657C533" w14:textId="77777777" w:rsidTr="00955C25">
        <w:tc>
          <w:tcPr>
            <w:tcW w:w="917" w:type="dxa"/>
            <w:vMerge w:val="restart"/>
            <w:vAlign w:val="center"/>
          </w:tcPr>
          <w:p w14:paraId="2877D684" w14:textId="1AAC590A" w:rsidR="00CE45CD" w:rsidRPr="00955C25" w:rsidRDefault="00CE45CD" w:rsidP="00CE45CD">
            <w:pPr>
              <w:rPr>
                <w:sz w:val="20"/>
                <w:szCs w:val="20"/>
              </w:rPr>
            </w:pPr>
            <w:r w:rsidRPr="00955C25">
              <w:rPr>
                <w:sz w:val="20"/>
                <w:szCs w:val="20"/>
              </w:rPr>
              <w:t>DIRC</w:t>
            </w:r>
          </w:p>
        </w:tc>
        <w:tc>
          <w:tcPr>
            <w:tcW w:w="2234" w:type="dxa"/>
          </w:tcPr>
          <w:p w14:paraId="188D0EFD" w14:textId="60698490" w:rsidR="00CE45CD" w:rsidRPr="00955C25" w:rsidRDefault="00CE45CD">
            <w:pPr>
              <w:rPr>
                <w:sz w:val="20"/>
                <w:szCs w:val="20"/>
              </w:rPr>
            </w:pPr>
            <w:r w:rsidRPr="00955C25">
              <w:rPr>
                <w:sz w:val="20"/>
                <w:szCs w:val="20"/>
              </w:rPr>
              <w:t>Program</w:t>
            </w:r>
          </w:p>
        </w:tc>
        <w:tc>
          <w:tcPr>
            <w:tcW w:w="2244" w:type="dxa"/>
          </w:tcPr>
          <w:p w14:paraId="186D60C5" w14:textId="5FD67324" w:rsidR="00CE45CD" w:rsidRPr="00955C25" w:rsidRDefault="00CE45CD" w:rsidP="00BD0D72">
            <w:pPr>
              <w:rPr>
                <w:sz w:val="20"/>
                <w:szCs w:val="20"/>
              </w:rPr>
            </w:pPr>
            <w:r w:rsidRPr="00955C25">
              <w:rPr>
                <w:sz w:val="20"/>
                <w:szCs w:val="20"/>
              </w:rPr>
              <w:t>130xxx</w:t>
            </w:r>
          </w:p>
        </w:tc>
        <w:tc>
          <w:tcPr>
            <w:tcW w:w="1620" w:type="dxa"/>
          </w:tcPr>
          <w:p w14:paraId="37261EBD" w14:textId="5450A1E7" w:rsidR="00CE45CD" w:rsidRPr="00955C25" w:rsidRDefault="00CE45CD" w:rsidP="00955C25">
            <w:pPr>
              <w:jc w:val="center"/>
              <w:rPr>
                <w:sz w:val="20"/>
                <w:szCs w:val="20"/>
              </w:rPr>
            </w:pPr>
            <w:r w:rsidRPr="00955C25">
              <w:rPr>
                <w:sz w:val="20"/>
                <w:szCs w:val="20"/>
              </w:rPr>
              <w:t>41xxxx</w:t>
            </w:r>
          </w:p>
        </w:tc>
        <w:tc>
          <w:tcPr>
            <w:tcW w:w="1435" w:type="dxa"/>
          </w:tcPr>
          <w:p w14:paraId="4C7602D7" w14:textId="7DA55519" w:rsidR="00CE45CD" w:rsidRPr="00955C25" w:rsidRDefault="00CE45CD" w:rsidP="00955C25">
            <w:pPr>
              <w:jc w:val="center"/>
              <w:rPr>
                <w:sz w:val="20"/>
                <w:szCs w:val="20"/>
              </w:rPr>
            </w:pPr>
            <w:r w:rsidRPr="00955C25">
              <w:rPr>
                <w:sz w:val="20"/>
                <w:szCs w:val="20"/>
              </w:rPr>
              <w:t>44xxxx</w:t>
            </w:r>
          </w:p>
        </w:tc>
      </w:tr>
      <w:tr w:rsidR="00CE45CD" w14:paraId="2F4D2E5B" w14:textId="77777777" w:rsidTr="006E04AE">
        <w:tc>
          <w:tcPr>
            <w:tcW w:w="917" w:type="dxa"/>
            <w:vMerge/>
          </w:tcPr>
          <w:p w14:paraId="6E04881C" w14:textId="77777777" w:rsidR="00CE45CD" w:rsidRPr="00955C25" w:rsidRDefault="00CE45CD">
            <w:pPr>
              <w:rPr>
                <w:sz w:val="20"/>
                <w:szCs w:val="20"/>
              </w:rPr>
            </w:pPr>
          </w:p>
        </w:tc>
        <w:tc>
          <w:tcPr>
            <w:tcW w:w="2234" w:type="dxa"/>
          </w:tcPr>
          <w:p w14:paraId="3EE69009" w14:textId="0907163C" w:rsidR="00CE45CD" w:rsidRPr="00955C25" w:rsidRDefault="00CE45CD">
            <w:pPr>
              <w:rPr>
                <w:sz w:val="20"/>
                <w:szCs w:val="20"/>
              </w:rPr>
            </w:pPr>
            <w:r w:rsidRPr="00955C25">
              <w:rPr>
                <w:sz w:val="20"/>
                <w:szCs w:val="20"/>
              </w:rPr>
              <w:t>Cost-Share (Sub-awards)</w:t>
            </w:r>
          </w:p>
        </w:tc>
        <w:tc>
          <w:tcPr>
            <w:tcW w:w="2244" w:type="dxa"/>
          </w:tcPr>
          <w:p w14:paraId="2E307878" w14:textId="0E706A6A" w:rsidR="00CE45CD" w:rsidRPr="00955C25" w:rsidRDefault="00CE45CD" w:rsidP="00BD0D72">
            <w:pPr>
              <w:rPr>
                <w:sz w:val="20"/>
                <w:szCs w:val="20"/>
              </w:rPr>
            </w:pPr>
            <w:r w:rsidRPr="00955C25">
              <w:rPr>
                <w:sz w:val="20"/>
                <w:szCs w:val="20"/>
              </w:rPr>
              <w:t>131xxx</w:t>
            </w:r>
          </w:p>
        </w:tc>
        <w:tc>
          <w:tcPr>
            <w:tcW w:w="1620" w:type="dxa"/>
          </w:tcPr>
          <w:p w14:paraId="148A6D36" w14:textId="77777777" w:rsidR="00CE45CD" w:rsidRPr="00955C25" w:rsidRDefault="00CE45CD" w:rsidP="00955C25">
            <w:pPr>
              <w:jc w:val="center"/>
              <w:rPr>
                <w:sz w:val="20"/>
                <w:szCs w:val="20"/>
              </w:rPr>
            </w:pPr>
          </w:p>
        </w:tc>
        <w:tc>
          <w:tcPr>
            <w:tcW w:w="1435" w:type="dxa"/>
          </w:tcPr>
          <w:p w14:paraId="1D8C6D63" w14:textId="77777777" w:rsidR="00CE45CD" w:rsidRPr="00955C25" w:rsidRDefault="00CE45CD" w:rsidP="00955C25">
            <w:pPr>
              <w:jc w:val="center"/>
              <w:rPr>
                <w:sz w:val="20"/>
                <w:szCs w:val="20"/>
              </w:rPr>
            </w:pPr>
          </w:p>
        </w:tc>
      </w:tr>
      <w:tr w:rsidR="00CE45CD" w14:paraId="32F1F677" w14:textId="77777777" w:rsidTr="00955C25">
        <w:tc>
          <w:tcPr>
            <w:tcW w:w="917" w:type="dxa"/>
            <w:vMerge w:val="restart"/>
            <w:vAlign w:val="center"/>
          </w:tcPr>
          <w:p w14:paraId="50352039" w14:textId="1C00E84D" w:rsidR="00CE45CD" w:rsidRPr="00955C25" w:rsidRDefault="00CE45CD" w:rsidP="00CE45CD">
            <w:pPr>
              <w:rPr>
                <w:sz w:val="20"/>
                <w:szCs w:val="20"/>
              </w:rPr>
            </w:pPr>
            <w:r w:rsidRPr="00955C25">
              <w:rPr>
                <w:sz w:val="20"/>
                <w:szCs w:val="20"/>
              </w:rPr>
              <w:t>FRP</w:t>
            </w:r>
          </w:p>
        </w:tc>
        <w:tc>
          <w:tcPr>
            <w:tcW w:w="2234" w:type="dxa"/>
          </w:tcPr>
          <w:p w14:paraId="73C4661E" w14:textId="23DF0743" w:rsidR="00CE45CD" w:rsidRPr="00955C25" w:rsidRDefault="00CE45CD" w:rsidP="00BD0D72">
            <w:pPr>
              <w:rPr>
                <w:sz w:val="20"/>
                <w:szCs w:val="20"/>
              </w:rPr>
            </w:pPr>
            <w:r w:rsidRPr="00955C25">
              <w:rPr>
                <w:sz w:val="20"/>
                <w:szCs w:val="20"/>
              </w:rPr>
              <w:t>Program</w:t>
            </w:r>
          </w:p>
        </w:tc>
        <w:tc>
          <w:tcPr>
            <w:tcW w:w="2244" w:type="dxa"/>
          </w:tcPr>
          <w:p w14:paraId="21221DB9" w14:textId="00ACD9E7" w:rsidR="00CE45CD" w:rsidRPr="00955C25" w:rsidRDefault="00CE45CD" w:rsidP="00BD0D72">
            <w:pPr>
              <w:rPr>
                <w:sz w:val="20"/>
                <w:szCs w:val="20"/>
              </w:rPr>
            </w:pPr>
            <w:r w:rsidRPr="00955C25">
              <w:rPr>
                <w:sz w:val="20"/>
                <w:szCs w:val="20"/>
              </w:rPr>
              <w:t>132xxx-133xxx</w:t>
            </w:r>
          </w:p>
        </w:tc>
        <w:tc>
          <w:tcPr>
            <w:tcW w:w="1620" w:type="dxa"/>
          </w:tcPr>
          <w:p w14:paraId="34DB1514" w14:textId="342026D0" w:rsidR="00CE45CD" w:rsidRPr="00955C25" w:rsidRDefault="00CE45CD" w:rsidP="00955C25">
            <w:pPr>
              <w:jc w:val="center"/>
              <w:rPr>
                <w:sz w:val="20"/>
                <w:szCs w:val="20"/>
              </w:rPr>
            </w:pPr>
            <w:r w:rsidRPr="00955C25">
              <w:rPr>
                <w:sz w:val="20"/>
                <w:szCs w:val="20"/>
              </w:rPr>
              <w:t>4</w:t>
            </w:r>
            <w:r>
              <w:rPr>
                <w:sz w:val="20"/>
                <w:szCs w:val="20"/>
              </w:rPr>
              <w:t>2</w:t>
            </w:r>
            <w:r w:rsidRPr="00955C25">
              <w:rPr>
                <w:sz w:val="20"/>
                <w:szCs w:val="20"/>
              </w:rPr>
              <w:t>xxxx</w:t>
            </w:r>
          </w:p>
        </w:tc>
        <w:tc>
          <w:tcPr>
            <w:tcW w:w="1435" w:type="dxa"/>
          </w:tcPr>
          <w:p w14:paraId="53C4760F" w14:textId="133DFE71" w:rsidR="00CE45CD" w:rsidRPr="00955C25" w:rsidRDefault="00CE45CD" w:rsidP="00955C25">
            <w:pPr>
              <w:jc w:val="center"/>
              <w:rPr>
                <w:sz w:val="20"/>
                <w:szCs w:val="20"/>
              </w:rPr>
            </w:pPr>
            <w:r w:rsidRPr="00955C25">
              <w:rPr>
                <w:sz w:val="20"/>
                <w:szCs w:val="20"/>
              </w:rPr>
              <w:t>45xxxx</w:t>
            </w:r>
          </w:p>
        </w:tc>
      </w:tr>
      <w:tr w:rsidR="00CE45CD" w14:paraId="3FC435E9" w14:textId="77777777" w:rsidTr="009B509F">
        <w:tc>
          <w:tcPr>
            <w:tcW w:w="917" w:type="dxa"/>
            <w:vMerge/>
          </w:tcPr>
          <w:p w14:paraId="58EF8DD7" w14:textId="77777777" w:rsidR="00CE45CD" w:rsidRPr="00955C25" w:rsidRDefault="00CE45CD" w:rsidP="00BD0D72">
            <w:pPr>
              <w:rPr>
                <w:sz w:val="20"/>
                <w:szCs w:val="20"/>
              </w:rPr>
            </w:pPr>
          </w:p>
        </w:tc>
        <w:tc>
          <w:tcPr>
            <w:tcW w:w="2234" w:type="dxa"/>
          </w:tcPr>
          <w:p w14:paraId="79214672" w14:textId="3E266092" w:rsidR="00CE45CD" w:rsidRPr="00955C25" w:rsidRDefault="00CE45CD" w:rsidP="00BD0D72">
            <w:pPr>
              <w:rPr>
                <w:sz w:val="20"/>
                <w:szCs w:val="20"/>
              </w:rPr>
            </w:pPr>
            <w:r w:rsidRPr="00955C25">
              <w:rPr>
                <w:sz w:val="20"/>
                <w:szCs w:val="20"/>
              </w:rPr>
              <w:t>Cost-Share (Sub-awards)</w:t>
            </w:r>
          </w:p>
        </w:tc>
        <w:tc>
          <w:tcPr>
            <w:tcW w:w="2244" w:type="dxa"/>
          </w:tcPr>
          <w:p w14:paraId="0C987F59" w14:textId="0B218CC7" w:rsidR="00CE45CD" w:rsidRPr="00955C25" w:rsidRDefault="00CE45CD" w:rsidP="00BD0D72">
            <w:pPr>
              <w:rPr>
                <w:sz w:val="20"/>
                <w:szCs w:val="20"/>
              </w:rPr>
            </w:pPr>
            <w:r w:rsidRPr="00955C25">
              <w:rPr>
                <w:sz w:val="20"/>
                <w:szCs w:val="20"/>
              </w:rPr>
              <w:t>134xxx</w:t>
            </w:r>
          </w:p>
        </w:tc>
        <w:tc>
          <w:tcPr>
            <w:tcW w:w="1620" w:type="dxa"/>
          </w:tcPr>
          <w:p w14:paraId="515A3D97" w14:textId="23807A4C" w:rsidR="00CE45CD" w:rsidRPr="00955C25" w:rsidRDefault="00CE45CD" w:rsidP="00955C25">
            <w:pPr>
              <w:jc w:val="center"/>
              <w:rPr>
                <w:sz w:val="20"/>
                <w:szCs w:val="20"/>
              </w:rPr>
            </w:pPr>
            <w:r w:rsidRPr="00955C25">
              <w:rPr>
                <w:sz w:val="20"/>
                <w:szCs w:val="20"/>
              </w:rPr>
              <w:t>429xxx</w:t>
            </w:r>
          </w:p>
        </w:tc>
        <w:tc>
          <w:tcPr>
            <w:tcW w:w="1435" w:type="dxa"/>
          </w:tcPr>
          <w:p w14:paraId="0DF9B5E8" w14:textId="0F617579" w:rsidR="00CE45CD" w:rsidRPr="00955C25" w:rsidRDefault="00CE45CD" w:rsidP="00955C25">
            <w:pPr>
              <w:jc w:val="center"/>
              <w:rPr>
                <w:sz w:val="20"/>
                <w:szCs w:val="20"/>
              </w:rPr>
            </w:pPr>
            <w:r w:rsidRPr="00955C25">
              <w:rPr>
                <w:sz w:val="20"/>
                <w:szCs w:val="20"/>
              </w:rPr>
              <w:t>459xxx</w:t>
            </w:r>
          </w:p>
        </w:tc>
      </w:tr>
      <w:tr w:rsidR="00CE45CD" w14:paraId="401F99E5" w14:textId="77777777" w:rsidTr="00955C25">
        <w:tc>
          <w:tcPr>
            <w:tcW w:w="917" w:type="dxa"/>
            <w:vMerge w:val="restart"/>
            <w:vAlign w:val="center"/>
          </w:tcPr>
          <w:p w14:paraId="3999D9E7" w14:textId="3CE787F0" w:rsidR="00CE45CD" w:rsidRPr="00955C25" w:rsidRDefault="00CE45CD" w:rsidP="00CE45CD">
            <w:pPr>
              <w:rPr>
                <w:sz w:val="20"/>
                <w:szCs w:val="20"/>
              </w:rPr>
            </w:pPr>
            <w:r w:rsidRPr="00955C25">
              <w:rPr>
                <w:sz w:val="20"/>
                <w:szCs w:val="20"/>
              </w:rPr>
              <w:t>FRD</w:t>
            </w:r>
          </w:p>
        </w:tc>
        <w:tc>
          <w:tcPr>
            <w:tcW w:w="2234" w:type="dxa"/>
          </w:tcPr>
          <w:p w14:paraId="5E4956DF" w14:textId="473E3F7B" w:rsidR="00CE45CD" w:rsidRPr="00955C25" w:rsidRDefault="00CE45CD" w:rsidP="00BD0D72">
            <w:pPr>
              <w:rPr>
                <w:sz w:val="20"/>
                <w:szCs w:val="20"/>
              </w:rPr>
            </w:pPr>
            <w:r w:rsidRPr="00955C25">
              <w:rPr>
                <w:sz w:val="20"/>
                <w:szCs w:val="20"/>
              </w:rPr>
              <w:t>Program</w:t>
            </w:r>
          </w:p>
        </w:tc>
        <w:tc>
          <w:tcPr>
            <w:tcW w:w="2244" w:type="dxa"/>
          </w:tcPr>
          <w:p w14:paraId="3E968EB1" w14:textId="7135099D" w:rsidR="00CE45CD" w:rsidRPr="00955C25" w:rsidRDefault="00CE45CD" w:rsidP="00BD0D72">
            <w:pPr>
              <w:rPr>
                <w:sz w:val="20"/>
                <w:szCs w:val="20"/>
              </w:rPr>
            </w:pPr>
            <w:r w:rsidRPr="00955C25">
              <w:rPr>
                <w:sz w:val="20"/>
                <w:szCs w:val="20"/>
              </w:rPr>
              <w:t>135xxx-136xxx</w:t>
            </w:r>
          </w:p>
        </w:tc>
        <w:tc>
          <w:tcPr>
            <w:tcW w:w="1620" w:type="dxa"/>
          </w:tcPr>
          <w:p w14:paraId="30ECE26F" w14:textId="5D8409BB" w:rsidR="00CE45CD" w:rsidRPr="00955C25" w:rsidRDefault="00CE45CD" w:rsidP="00955C25">
            <w:pPr>
              <w:jc w:val="center"/>
              <w:rPr>
                <w:sz w:val="20"/>
                <w:szCs w:val="20"/>
              </w:rPr>
            </w:pPr>
            <w:r w:rsidRPr="00955C25">
              <w:rPr>
                <w:sz w:val="20"/>
                <w:szCs w:val="20"/>
              </w:rPr>
              <w:t>43xxxx</w:t>
            </w:r>
          </w:p>
        </w:tc>
        <w:tc>
          <w:tcPr>
            <w:tcW w:w="1435" w:type="dxa"/>
          </w:tcPr>
          <w:p w14:paraId="0AB796C4" w14:textId="51873F04" w:rsidR="00CE45CD" w:rsidRPr="00955C25" w:rsidRDefault="00CE45CD" w:rsidP="00955C25">
            <w:pPr>
              <w:jc w:val="center"/>
              <w:rPr>
                <w:sz w:val="20"/>
                <w:szCs w:val="20"/>
              </w:rPr>
            </w:pPr>
            <w:r w:rsidRPr="00955C25">
              <w:rPr>
                <w:sz w:val="20"/>
                <w:szCs w:val="20"/>
              </w:rPr>
              <w:t>46xxxx</w:t>
            </w:r>
          </w:p>
        </w:tc>
      </w:tr>
      <w:tr w:rsidR="00CE45CD" w14:paraId="6BC82539" w14:textId="77777777" w:rsidTr="00CE4767">
        <w:tc>
          <w:tcPr>
            <w:tcW w:w="917" w:type="dxa"/>
            <w:vMerge/>
          </w:tcPr>
          <w:p w14:paraId="23CFAD53" w14:textId="77777777" w:rsidR="00CE45CD" w:rsidRPr="00955C25" w:rsidRDefault="00CE45CD" w:rsidP="00BD0D72">
            <w:pPr>
              <w:rPr>
                <w:sz w:val="20"/>
                <w:szCs w:val="20"/>
              </w:rPr>
            </w:pPr>
          </w:p>
        </w:tc>
        <w:tc>
          <w:tcPr>
            <w:tcW w:w="2234" w:type="dxa"/>
          </w:tcPr>
          <w:p w14:paraId="7139083D" w14:textId="3A16363D" w:rsidR="00CE45CD" w:rsidRPr="00955C25" w:rsidRDefault="00CE45CD" w:rsidP="00BD0D72">
            <w:pPr>
              <w:rPr>
                <w:sz w:val="20"/>
                <w:szCs w:val="20"/>
              </w:rPr>
            </w:pPr>
            <w:r w:rsidRPr="00955C25">
              <w:rPr>
                <w:sz w:val="20"/>
                <w:szCs w:val="20"/>
              </w:rPr>
              <w:t>Cost-Share (Sub-awards)</w:t>
            </w:r>
          </w:p>
        </w:tc>
        <w:tc>
          <w:tcPr>
            <w:tcW w:w="2244" w:type="dxa"/>
          </w:tcPr>
          <w:p w14:paraId="33FE0A1E" w14:textId="6A6C26BC" w:rsidR="00CE45CD" w:rsidRPr="00955C25" w:rsidRDefault="00CE45CD" w:rsidP="00BD0D72">
            <w:pPr>
              <w:rPr>
                <w:sz w:val="20"/>
                <w:szCs w:val="20"/>
              </w:rPr>
            </w:pPr>
            <w:r w:rsidRPr="00955C25">
              <w:rPr>
                <w:sz w:val="20"/>
                <w:szCs w:val="20"/>
              </w:rPr>
              <w:t>137xxx</w:t>
            </w:r>
          </w:p>
        </w:tc>
        <w:tc>
          <w:tcPr>
            <w:tcW w:w="1620" w:type="dxa"/>
          </w:tcPr>
          <w:p w14:paraId="33D6E16A" w14:textId="23610BF8" w:rsidR="00CE45CD" w:rsidRPr="00955C25" w:rsidRDefault="00CE45CD" w:rsidP="00955C25">
            <w:pPr>
              <w:jc w:val="center"/>
              <w:rPr>
                <w:sz w:val="20"/>
                <w:szCs w:val="20"/>
              </w:rPr>
            </w:pPr>
            <w:r w:rsidRPr="00955C25">
              <w:rPr>
                <w:sz w:val="20"/>
                <w:szCs w:val="20"/>
              </w:rPr>
              <w:t>439xxx</w:t>
            </w:r>
          </w:p>
        </w:tc>
        <w:tc>
          <w:tcPr>
            <w:tcW w:w="1435" w:type="dxa"/>
          </w:tcPr>
          <w:p w14:paraId="5592620B" w14:textId="62951E35" w:rsidR="00CE45CD" w:rsidRPr="00955C25" w:rsidRDefault="00CE45CD" w:rsidP="00955C25">
            <w:pPr>
              <w:jc w:val="center"/>
              <w:rPr>
                <w:sz w:val="20"/>
                <w:szCs w:val="20"/>
              </w:rPr>
            </w:pPr>
            <w:r w:rsidRPr="00955C25">
              <w:rPr>
                <w:sz w:val="20"/>
                <w:szCs w:val="20"/>
              </w:rPr>
              <w:t>469xxx</w:t>
            </w:r>
          </w:p>
        </w:tc>
      </w:tr>
    </w:tbl>
    <w:p w14:paraId="2FB127CE" w14:textId="77777777" w:rsidR="00BD0D72" w:rsidRPr="001D322E" w:rsidRDefault="00BD0D72">
      <w:pPr>
        <w:ind w:left="900" w:hanging="450"/>
        <w:rPr>
          <w:u w:val="single"/>
        </w:rPr>
      </w:pPr>
    </w:p>
    <w:p w14:paraId="72482FF1" w14:textId="480EDCFB" w:rsidR="005618D4" w:rsidRPr="001D322E" w:rsidRDefault="005618D4" w:rsidP="00955C25">
      <w:pPr>
        <w:ind w:left="900"/>
      </w:pPr>
      <w:r w:rsidRPr="001D322E">
        <w:t xml:space="preserve">Upon </w:t>
      </w:r>
      <w:r w:rsidR="00B01D81" w:rsidRPr="001D322E">
        <w:t>receipt</w:t>
      </w:r>
      <w:r w:rsidRPr="001D322E">
        <w:t xml:space="preserve"> of a new financial assistance award, an appropriate account number is selected using the account structure above.  A New Account Request </w:t>
      </w:r>
      <w:r w:rsidR="00DF022B">
        <w:t>f</w:t>
      </w:r>
      <w:r w:rsidR="00DF022B" w:rsidRPr="001D322E">
        <w:t xml:space="preserve">orm </w:t>
      </w:r>
      <w:r w:rsidRPr="001D322E">
        <w:t xml:space="preserve">and a Budget </w:t>
      </w:r>
      <w:r w:rsidR="00377028" w:rsidRPr="001D322E">
        <w:t>Change Request form</w:t>
      </w:r>
      <w:r w:rsidRPr="001D322E">
        <w:t xml:space="preserve"> are completed by the grants administrator for the award </w:t>
      </w:r>
      <w:r w:rsidRPr="001D322E">
        <w:lastRenderedPageBreak/>
        <w:t xml:space="preserve">and for any match support accounts that may be required.  Based upon the grant budget, subcode edits are </w:t>
      </w:r>
      <w:r w:rsidR="000359E8" w:rsidRPr="001D322E">
        <w:t>established</w:t>
      </w:r>
      <w:r w:rsidRPr="001D322E">
        <w:t xml:space="preserve"> to allow or disallow certain object class codes.  The </w:t>
      </w:r>
      <w:r w:rsidR="000359E8" w:rsidRPr="001D322E">
        <w:t>completed</w:t>
      </w:r>
      <w:r w:rsidRPr="001D322E">
        <w:t xml:space="preserve"> forms are submitted to Budgets and Accounting</w:t>
      </w:r>
      <w:r w:rsidR="000359E8" w:rsidRPr="001D322E">
        <w:t xml:space="preserve"> for processing</w:t>
      </w:r>
      <w:r w:rsidRPr="001D322E">
        <w:t xml:space="preserve">.  Once the account has been established, the </w:t>
      </w:r>
      <w:r w:rsidR="000359E8" w:rsidRPr="001D322E">
        <w:t xml:space="preserve">grants administrator:  </w:t>
      </w:r>
      <w:r w:rsidR="00BB5ABB">
        <w:t>1</w:t>
      </w:r>
      <w:r w:rsidR="000359E8" w:rsidRPr="001D322E">
        <w:t xml:space="preserve">) notifies the </w:t>
      </w:r>
      <w:r w:rsidR="009519B5">
        <w:t xml:space="preserve">project </w:t>
      </w:r>
      <w:r w:rsidRPr="001D322E">
        <w:t>leader by email that the account is setup and ready to use</w:t>
      </w:r>
      <w:r w:rsidR="000359E8" w:rsidRPr="001D322E">
        <w:t xml:space="preserve">, and </w:t>
      </w:r>
      <w:r w:rsidR="00B07F4B">
        <w:t>2</w:t>
      </w:r>
      <w:r w:rsidR="000359E8" w:rsidRPr="001D322E">
        <w:t xml:space="preserve">) </w:t>
      </w:r>
      <w:r w:rsidR="005F0979">
        <w:t>e</w:t>
      </w:r>
      <w:r w:rsidR="005F0979" w:rsidRPr="001D322E">
        <w:t xml:space="preserve">nters </w:t>
      </w:r>
      <w:r w:rsidR="000359E8" w:rsidRPr="001D322E">
        <w:t>t</w:t>
      </w:r>
      <w:r w:rsidRPr="001D322E">
        <w:t xml:space="preserve">he </w:t>
      </w:r>
      <w:r w:rsidR="007D4E65" w:rsidRPr="001D322E">
        <w:t xml:space="preserve">project </w:t>
      </w:r>
      <w:r w:rsidR="007D4E65">
        <w:t>and</w:t>
      </w:r>
      <w:r w:rsidR="0040306D">
        <w:t xml:space="preserve"> sets up billing</w:t>
      </w:r>
      <w:r w:rsidRPr="001D322E">
        <w:t xml:space="preserve"> </w:t>
      </w:r>
      <w:r w:rsidR="0040306D">
        <w:t xml:space="preserve">in </w:t>
      </w:r>
      <w:r w:rsidR="00F20266">
        <w:t xml:space="preserve">Maestro </w:t>
      </w:r>
      <w:r w:rsidRPr="001D322E">
        <w:t xml:space="preserve">and the corresponding information is updated on screen 009 in FAMIS.  </w:t>
      </w:r>
    </w:p>
    <w:p w14:paraId="56641CE5" w14:textId="77777777" w:rsidR="005618D4" w:rsidRPr="00232EB5" w:rsidRDefault="005618D4">
      <w:pPr>
        <w:ind w:left="900" w:hanging="450"/>
        <w:rPr>
          <w:bCs/>
        </w:rPr>
      </w:pPr>
    </w:p>
    <w:p w14:paraId="59B57035" w14:textId="77777777" w:rsidR="005618D4" w:rsidRPr="001D322E" w:rsidRDefault="005618D4" w:rsidP="00955C25">
      <w:pPr>
        <w:pStyle w:val="ListParagraph"/>
        <w:numPr>
          <w:ilvl w:val="0"/>
          <w:numId w:val="16"/>
        </w:numPr>
        <w:ind w:left="900" w:hanging="450"/>
      </w:pPr>
      <w:r w:rsidRPr="001D322E">
        <w:rPr>
          <w:b/>
        </w:rPr>
        <w:t>Project Financial Compliance</w:t>
      </w:r>
    </w:p>
    <w:p w14:paraId="209E7420" w14:textId="77777777" w:rsidR="005618D4" w:rsidRPr="001D322E" w:rsidRDefault="005618D4">
      <w:pPr>
        <w:ind w:left="900" w:hanging="450"/>
      </w:pPr>
    </w:p>
    <w:p w14:paraId="79D9C56A" w14:textId="4F5B3FF0" w:rsidR="000359E8" w:rsidRPr="001D322E" w:rsidRDefault="005618D4" w:rsidP="00955C25">
      <w:pPr>
        <w:ind w:left="900"/>
      </w:pPr>
      <w:r w:rsidRPr="001D322E">
        <w:t xml:space="preserve">Accounts </w:t>
      </w:r>
      <w:r w:rsidR="00DF022B">
        <w:t>P</w:t>
      </w:r>
      <w:r w:rsidR="009519B5" w:rsidRPr="001D322E">
        <w:t xml:space="preserve">ayable </w:t>
      </w:r>
      <w:r w:rsidR="004F1172" w:rsidRPr="001D322E">
        <w:t xml:space="preserve">staff </w:t>
      </w:r>
      <w:r w:rsidRPr="001D322E">
        <w:t xml:space="preserve">route vouchers </w:t>
      </w:r>
      <w:r w:rsidR="00232EB5">
        <w:t>on grant</w:t>
      </w:r>
      <w:r w:rsidRPr="001D322E">
        <w:t xml:space="preserve"> accounts to the grant</w:t>
      </w:r>
      <w:r w:rsidR="00232EB5">
        <w:t>s</w:t>
      </w:r>
      <w:r w:rsidRPr="001D322E">
        <w:t xml:space="preserve"> administrator for review and approval.  The review process involves checking the budget to ensure that the expenditures were budgeted and that the expenses are sufficiently identified as being project-related.</w:t>
      </w:r>
      <w:r w:rsidR="000359E8" w:rsidRPr="001D322E">
        <w:t xml:space="preserve">  </w:t>
      </w:r>
      <w:r w:rsidRPr="001D322E">
        <w:t xml:space="preserve">Periodically during the month, the grants administrator does a review of grant account balances and investigates any expenses that may appear out of the ordinary or are unusual for that grant.  </w:t>
      </w:r>
    </w:p>
    <w:p w14:paraId="327772E3" w14:textId="77777777" w:rsidR="000359E8" w:rsidRPr="001D322E" w:rsidRDefault="000359E8">
      <w:pPr>
        <w:ind w:left="900" w:hanging="450"/>
      </w:pPr>
    </w:p>
    <w:p w14:paraId="2B7F4037" w14:textId="27D6695D" w:rsidR="005618D4" w:rsidRPr="001D322E" w:rsidRDefault="005618D4" w:rsidP="00955C25">
      <w:pPr>
        <w:ind w:left="900"/>
      </w:pPr>
      <w:r w:rsidRPr="001D322E">
        <w:t xml:space="preserve">Many of the federal </w:t>
      </w:r>
      <w:r w:rsidR="00F817B8" w:rsidRPr="001D322E">
        <w:t>reimbursements</w:t>
      </w:r>
      <w:r w:rsidRPr="001D322E">
        <w:t xml:space="preserve"> are processed through the Federal Government’s Invoice Processing Platform (IPP) in Austin, Texas.  The grants administrator receives email notifications of these payments from IPP and makes </w:t>
      </w:r>
      <w:r w:rsidR="00F817B8" w:rsidRPr="001D322E">
        <w:t xml:space="preserve">a </w:t>
      </w:r>
      <w:r w:rsidRPr="001D322E">
        <w:t xml:space="preserve">note </w:t>
      </w:r>
      <w:r w:rsidR="00F817B8" w:rsidRPr="001D322E">
        <w:t>to the files</w:t>
      </w:r>
      <w:r w:rsidRPr="001D322E">
        <w:t xml:space="preserve"> when </w:t>
      </w:r>
      <w:r w:rsidR="00F817B8" w:rsidRPr="001D322E">
        <w:t>they</w:t>
      </w:r>
      <w:r w:rsidRPr="001D322E">
        <w:t xml:space="preserve"> are made.  The grants administrator follows up on outstanding </w:t>
      </w:r>
      <w:r w:rsidR="00F817B8" w:rsidRPr="001D322E">
        <w:t>invoices</w:t>
      </w:r>
      <w:r w:rsidRPr="001D322E">
        <w:t xml:space="preserve"> from the monthly </w:t>
      </w:r>
      <w:r w:rsidR="004F1172" w:rsidRPr="001D322E">
        <w:t>drawdowns that</w:t>
      </w:r>
      <w:r w:rsidRPr="001D322E">
        <w:t xml:space="preserve"> are </w:t>
      </w:r>
      <w:r w:rsidR="00F817B8" w:rsidRPr="001D322E">
        <w:t>&gt;</w:t>
      </w:r>
      <w:r w:rsidRPr="001D322E">
        <w:t xml:space="preserve">30 days </w:t>
      </w:r>
      <w:r w:rsidR="00F817B8" w:rsidRPr="001D322E">
        <w:t>old</w:t>
      </w:r>
      <w:r w:rsidRPr="001D322E">
        <w:t xml:space="preserve">.  This often involves contacting the funding agency to see if there are any problems that need resolving. </w:t>
      </w:r>
    </w:p>
    <w:p w14:paraId="4BCF37F9" w14:textId="77777777" w:rsidR="005618D4" w:rsidRPr="001D322E" w:rsidRDefault="005618D4">
      <w:pPr>
        <w:ind w:left="900" w:hanging="450"/>
      </w:pPr>
    </w:p>
    <w:p w14:paraId="67A33BEC" w14:textId="23B66F7A" w:rsidR="005618D4" w:rsidRDefault="000359E8" w:rsidP="00955C25">
      <w:pPr>
        <w:ind w:left="900"/>
      </w:pPr>
      <w:r w:rsidRPr="001D322E">
        <w:t>The grants administrator routes p</w:t>
      </w:r>
      <w:r w:rsidR="005618D4" w:rsidRPr="001D322E">
        <w:t xml:space="preserve">ayroll </w:t>
      </w:r>
      <w:r w:rsidRPr="001D322E">
        <w:t>c</w:t>
      </w:r>
      <w:r w:rsidR="005618D4" w:rsidRPr="001D322E">
        <w:t xml:space="preserve">ertification reports, </w:t>
      </w:r>
      <w:r w:rsidRPr="001D322E">
        <w:t>for</w:t>
      </w:r>
      <w:r w:rsidR="005618D4" w:rsidRPr="001D322E">
        <w:t xml:space="preserve"> both grant accounts and related</w:t>
      </w:r>
      <w:r w:rsidR="00F817B8" w:rsidRPr="001D322E">
        <w:t xml:space="preserve"> </w:t>
      </w:r>
      <w:r w:rsidR="005618D4" w:rsidRPr="001D322E">
        <w:t xml:space="preserve">match accounts, </w:t>
      </w:r>
      <w:r w:rsidRPr="001D322E">
        <w:t xml:space="preserve">to </w:t>
      </w:r>
      <w:r w:rsidR="00C61A23">
        <w:t xml:space="preserve">the </w:t>
      </w:r>
      <w:r w:rsidR="009519B5">
        <w:t>project</w:t>
      </w:r>
      <w:r w:rsidR="009519B5" w:rsidRPr="001D322E">
        <w:t xml:space="preserve"> </w:t>
      </w:r>
      <w:r w:rsidRPr="001D322E">
        <w:t>leaders</w:t>
      </w:r>
      <w:r w:rsidR="005618D4" w:rsidRPr="001D322E">
        <w:t xml:space="preserve"> each month for review, certification, and return.  Discrepancies</w:t>
      </w:r>
      <w:r w:rsidRPr="001D322E">
        <w:t>, if any,</w:t>
      </w:r>
      <w:r w:rsidR="005618D4" w:rsidRPr="001D322E">
        <w:t xml:space="preserve"> are noted on the reports and payroll </w:t>
      </w:r>
      <w:r w:rsidR="00F817B8" w:rsidRPr="001D322E">
        <w:t>corrections</w:t>
      </w:r>
      <w:r w:rsidR="005618D4" w:rsidRPr="001D322E">
        <w:t xml:space="preserve"> are initiated at the departmental level. Reminder</w:t>
      </w:r>
      <w:r w:rsidR="00F817B8" w:rsidRPr="001D322E">
        <w:t xml:space="preserve"> e-mail</w:t>
      </w:r>
      <w:r w:rsidR="005618D4" w:rsidRPr="001D322E">
        <w:t xml:space="preserve">s are sent out by the grants </w:t>
      </w:r>
      <w:r w:rsidRPr="001D322E">
        <w:t>administrator</w:t>
      </w:r>
      <w:r w:rsidR="006B23B9" w:rsidRPr="001D322E">
        <w:t xml:space="preserve"> </w:t>
      </w:r>
      <w:r w:rsidR="005618D4" w:rsidRPr="001D322E">
        <w:t xml:space="preserve">monthly for any missing reports.  </w:t>
      </w:r>
    </w:p>
    <w:p w14:paraId="28DF5910" w14:textId="77777777" w:rsidR="00C23C09" w:rsidRDefault="00C23C09" w:rsidP="00232EB5">
      <w:pPr>
        <w:ind w:left="450"/>
      </w:pPr>
    </w:p>
    <w:p w14:paraId="0E3ADC88" w14:textId="57A48105" w:rsidR="00FB6BFF" w:rsidRDefault="00F20266" w:rsidP="00955C25">
      <w:pPr>
        <w:ind w:left="900"/>
      </w:pPr>
      <w:r>
        <w:t xml:space="preserve">Sub-awards are </w:t>
      </w:r>
      <w:r w:rsidR="005113B5">
        <w:t>issued</w:t>
      </w:r>
      <w:r>
        <w:t xml:space="preserve"> at the departmental level</w:t>
      </w:r>
      <w:r w:rsidR="00C338E1">
        <w:t>.</w:t>
      </w:r>
      <w:r>
        <w:t xml:space="preserve">  </w:t>
      </w:r>
      <w:r w:rsidR="00A02B3A">
        <w:t>For sub-award grants, d</w:t>
      </w:r>
      <w:r w:rsidR="003C28D9">
        <w:t xml:space="preserve">epartments use </w:t>
      </w:r>
      <w:r w:rsidR="00C338E1">
        <w:t>standardized</w:t>
      </w:r>
      <w:r w:rsidR="00A02B3A">
        <w:t xml:space="preserve"> grant templates that have been reviewed and approved by the Contracts Officer</w:t>
      </w:r>
      <w:r w:rsidR="00FB6BFF">
        <w:t xml:space="preserve"> and the Office of General Counsel (OGC)</w:t>
      </w:r>
      <w:r w:rsidR="00A02B3A">
        <w:t>.  For sub-award contracts, departments use standardized contract templates approved by the Contracts Officer</w:t>
      </w:r>
      <w:r w:rsidR="003C46B8">
        <w:t xml:space="preserve"> and OGC</w:t>
      </w:r>
      <w:r w:rsidR="00A02B3A">
        <w:t xml:space="preserve">; individual contract awards are reviewed by the Contracts Officer and approved by the Director (or his designee). </w:t>
      </w:r>
      <w:r w:rsidR="00C338E1">
        <w:t xml:space="preserve"> </w:t>
      </w:r>
      <w:r w:rsidR="00A02B3A">
        <w:t>For subrecipients that are not individuals, a</w:t>
      </w:r>
      <w:r w:rsidR="005113B5">
        <w:t xml:space="preserve">n A-133 audit certification </w:t>
      </w:r>
      <w:r w:rsidR="00A02B3A">
        <w:t xml:space="preserve">form </w:t>
      </w:r>
      <w:r w:rsidR="005113B5">
        <w:t xml:space="preserve">is also </w:t>
      </w:r>
      <w:r w:rsidR="002B49B1">
        <w:t xml:space="preserve">sent to </w:t>
      </w:r>
      <w:r w:rsidR="00A02B3A">
        <w:t xml:space="preserve">the </w:t>
      </w:r>
      <w:r w:rsidR="002B49B1">
        <w:t xml:space="preserve">sub-recipients as part of their award packets.  This form must be completed and returned to </w:t>
      </w:r>
      <w:r w:rsidR="00B52414">
        <w:t xml:space="preserve">the agency </w:t>
      </w:r>
      <w:r w:rsidR="002B49B1">
        <w:t>before</w:t>
      </w:r>
      <w:r w:rsidR="005113B5">
        <w:t xml:space="preserve"> </w:t>
      </w:r>
      <w:r w:rsidR="002B49B1">
        <w:t>an</w:t>
      </w:r>
      <w:r w:rsidR="005113B5">
        <w:t xml:space="preserve"> award</w:t>
      </w:r>
      <w:r w:rsidR="002B49B1">
        <w:t xml:space="preserve"> can be</w:t>
      </w:r>
      <w:r w:rsidR="005113B5">
        <w:t xml:space="preserve"> finalized.</w:t>
      </w:r>
    </w:p>
    <w:p w14:paraId="032AF366" w14:textId="77777777" w:rsidR="00FB6BFF" w:rsidRDefault="00FB6BFF" w:rsidP="00955C25">
      <w:pPr>
        <w:ind w:left="900" w:hanging="450"/>
      </w:pPr>
    </w:p>
    <w:p w14:paraId="21C8470E" w14:textId="77777777" w:rsidR="00F20266" w:rsidRPr="001D322E" w:rsidRDefault="005113B5" w:rsidP="00955C25">
      <w:pPr>
        <w:ind w:left="900"/>
      </w:pPr>
      <w:r>
        <w:t xml:space="preserve">Sub-awards </w:t>
      </w:r>
      <w:r w:rsidR="00A02B3A">
        <w:t>(grant</w:t>
      </w:r>
      <w:r w:rsidR="00FB6BFF">
        <w:t>s</w:t>
      </w:r>
      <w:r w:rsidR="00A02B3A">
        <w:t xml:space="preserve"> or contract</w:t>
      </w:r>
      <w:r w:rsidR="00FB6BFF">
        <w:t>s</w:t>
      </w:r>
      <w:r w:rsidR="00A02B3A">
        <w:t xml:space="preserve">) </w:t>
      </w:r>
      <w:r>
        <w:t>totaling $25,000 or more are recorded on the Federal Funding Accountability and Transparency Act (FFATA) website by the grants administrator</w:t>
      </w:r>
      <w:r w:rsidR="00FB6BFF">
        <w:t>,</w:t>
      </w:r>
      <w:r w:rsidR="002B49B1">
        <w:t xml:space="preserve"> as required under P.L. 109-282.</w:t>
      </w:r>
      <w:r w:rsidR="002C0E7D">
        <w:t xml:space="preserve">  </w:t>
      </w:r>
      <w:r w:rsidR="007B24E2">
        <w:t>Original f</w:t>
      </w:r>
      <w:r w:rsidR="002C0E7D">
        <w:t xml:space="preserve">ully </w:t>
      </w:r>
      <w:r w:rsidR="0011764C">
        <w:t>executed sub</w:t>
      </w:r>
      <w:r w:rsidR="002C0E7D">
        <w:t>-</w:t>
      </w:r>
      <w:r w:rsidR="00FB6BFF">
        <w:t>award</w:t>
      </w:r>
      <w:r w:rsidR="002C0E7D">
        <w:t xml:space="preserve"> </w:t>
      </w:r>
      <w:r w:rsidR="00FB6BFF">
        <w:lastRenderedPageBreak/>
        <w:t>contract</w:t>
      </w:r>
      <w:r w:rsidR="007B24E2">
        <w:t>s</w:t>
      </w:r>
      <w:r w:rsidR="00FB6BFF">
        <w:t xml:space="preserve"> </w:t>
      </w:r>
      <w:r w:rsidR="002C0E7D">
        <w:t xml:space="preserve">are </w:t>
      </w:r>
      <w:r w:rsidR="00FB6BFF">
        <w:t xml:space="preserve">maintained in the central contracts </w:t>
      </w:r>
      <w:r w:rsidR="002C0E7D">
        <w:t xml:space="preserve">file </w:t>
      </w:r>
      <w:r w:rsidR="00FB6BFF">
        <w:t>by</w:t>
      </w:r>
      <w:r w:rsidR="002C0E7D">
        <w:t xml:space="preserve"> the Contracts Officer.  The awarding department </w:t>
      </w:r>
      <w:r w:rsidR="00FB6BFF">
        <w:t>retains</w:t>
      </w:r>
      <w:r w:rsidR="002C0E7D">
        <w:t xml:space="preserve"> a copy of all sub-</w:t>
      </w:r>
      <w:r w:rsidR="00FB6BFF">
        <w:t>awards</w:t>
      </w:r>
      <w:r w:rsidR="002C0E7D">
        <w:t xml:space="preserve"> in its official files.</w:t>
      </w:r>
    </w:p>
    <w:p w14:paraId="1B5AA401" w14:textId="77777777" w:rsidR="005618D4" w:rsidRPr="00232EB5" w:rsidRDefault="005618D4">
      <w:pPr>
        <w:ind w:left="900" w:hanging="450"/>
        <w:rPr>
          <w:bCs/>
        </w:rPr>
      </w:pPr>
    </w:p>
    <w:p w14:paraId="7F528284" w14:textId="782CC5F0" w:rsidR="005618D4" w:rsidRPr="001D322E" w:rsidRDefault="00BD0D72" w:rsidP="00955C25">
      <w:pPr>
        <w:pStyle w:val="ListParagraph"/>
        <w:numPr>
          <w:ilvl w:val="0"/>
          <w:numId w:val="16"/>
        </w:numPr>
        <w:ind w:left="900" w:hanging="450"/>
      </w:pPr>
      <w:r>
        <w:rPr>
          <w:b/>
        </w:rPr>
        <w:t xml:space="preserve">Indirect </w:t>
      </w:r>
      <w:r w:rsidR="005618D4" w:rsidRPr="001D322E">
        <w:rPr>
          <w:b/>
        </w:rPr>
        <w:t>Cost</w:t>
      </w:r>
    </w:p>
    <w:p w14:paraId="1B65FF16" w14:textId="77777777" w:rsidR="005618D4" w:rsidRPr="001D322E" w:rsidRDefault="005618D4">
      <w:pPr>
        <w:ind w:left="900" w:hanging="450"/>
      </w:pPr>
    </w:p>
    <w:p w14:paraId="1438B212" w14:textId="68B28B89" w:rsidR="00C23C09" w:rsidRDefault="00BD0D72" w:rsidP="00955C25">
      <w:pPr>
        <w:ind w:left="900"/>
      </w:pPr>
      <w:r w:rsidRPr="00BD0D72">
        <w:t xml:space="preserve">The System </w:t>
      </w:r>
      <w:r>
        <w:t>O</w:t>
      </w:r>
      <w:r w:rsidRPr="00BD0D72">
        <w:t>ffice of Budgets &amp; Accounting is responsible for preparing and negotiatin</w:t>
      </w:r>
      <w:r w:rsidR="00CE45CD">
        <w:t>g</w:t>
      </w:r>
      <w:r w:rsidRPr="00BD0D72">
        <w:t xml:space="preserve"> the </w:t>
      </w:r>
      <w:r>
        <w:t>i</w:t>
      </w:r>
      <w:r w:rsidRPr="00BD0D72">
        <w:t xml:space="preserve">ndirect </w:t>
      </w:r>
      <w:r>
        <w:t>c</w:t>
      </w:r>
      <w:r w:rsidRPr="00BD0D72">
        <w:t>ost rate agreement, also known as the F&amp;A agreement.</w:t>
      </w:r>
      <w:r>
        <w:t xml:space="preserve">  </w:t>
      </w:r>
      <w:r w:rsidR="00C23C09">
        <w:t>It is the intent of the state legislature that all state agencies establish guidelines to recover all F&amp;A costs based on the rates negotiated with the federal cognizant agency.</w:t>
      </w:r>
      <w:r w:rsidR="00B52414">
        <w:t xml:space="preserve">  Any exceptions to the use of the negotiated rate will require a statement of explanation to be included in the internal member routing documentation.  The statement must outline the benefits to the system and to the state of Texas that justify cost sharing a portion of the F&amp;A costs of a particular program by the agency and must have CEO or designee approval.</w:t>
      </w:r>
      <w:r w:rsidR="00CE45CD">
        <w:t xml:space="preserve">  The agency generally limits exceptions, except when the sponsor restricts the amount of indirect cost that is permissible.  Exceptions are documented on the routing sheet and must be approved by the ADFA and Director.</w:t>
      </w:r>
    </w:p>
    <w:p w14:paraId="42EAF8CC" w14:textId="77777777" w:rsidR="00C23C09" w:rsidRDefault="00C23C09" w:rsidP="00955C25">
      <w:pPr>
        <w:ind w:left="900"/>
      </w:pPr>
    </w:p>
    <w:p w14:paraId="2F75D89C" w14:textId="77777777" w:rsidR="00BD0D72" w:rsidRPr="001D322E" w:rsidRDefault="00BD0D72" w:rsidP="00BD0D72">
      <w:pPr>
        <w:pStyle w:val="ListParagraph"/>
        <w:numPr>
          <w:ilvl w:val="0"/>
          <w:numId w:val="16"/>
        </w:numPr>
        <w:ind w:left="900" w:hanging="450"/>
      </w:pPr>
      <w:r w:rsidRPr="001D322E">
        <w:rPr>
          <w:b/>
        </w:rPr>
        <w:t>Cost</w:t>
      </w:r>
      <w:r>
        <w:rPr>
          <w:b/>
        </w:rPr>
        <w:t>-</w:t>
      </w:r>
      <w:r w:rsidRPr="001D322E">
        <w:rPr>
          <w:b/>
        </w:rPr>
        <w:t>Sharing</w:t>
      </w:r>
    </w:p>
    <w:p w14:paraId="3E3FC503" w14:textId="77777777" w:rsidR="00BD0D72" w:rsidRDefault="00BD0D72">
      <w:pPr>
        <w:ind w:left="900"/>
      </w:pPr>
    </w:p>
    <w:p w14:paraId="32F7AFA8" w14:textId="525932D6" w:rsidR="005618D4" w:rsidRPr="001D322E" w:rsidRDefault="005618D4" w:rsidP="00955C25">
      <w:pPr>
        <w:ind w:left="900"/>
      </w:pPr>
      <w:r w:rsidRPr="001D322E">
        <w:t xml:space="preserve">Cost-sharing is identified and approved </w:t>
      </w:r>
      <w:r w:rsidR="00BB2985" w:rsidRPr="001D322E">
        <w:t>with</w:t>
      </w:r>
      <w:r w:rsidRPr="001D322E">
        <w:t xml:space="preserve"> the proposal.  Once an award has been </w:t>
      </w:r>
      <w:r w:rsidR="00BB2985" w:rsidRPr="001D322E">
        <w:t>received</w:t>
      </w:r>
      <w:r w:rsidRPr="001D322E">
        <w:t xml:space="preserve">, any necessary cost-share accounts and/or support accounts are established in FAMIS.  In addition, these accounts are incorporated into the drawdown </w:t>
      </w:r>
      <w:r w:rsidR="00F817B8" w:rsidRPr="001D322E">
        <w:t xml:space="preserve">work </w:t>
      </w:r>
      <w:r w:rsidRPr="001D322E">
        <w:t>sheet and linked to the grants they match.  Cost-share expenses are periodically reviewed by the grants administrator to ensure that the match requirements are being met on a timely basis and that the expenses are in agreement with the grant budget.</w:t>
      </w:r>
    </w:p>
    <w:p w14:paraId="631A9081" w14:textId="77777777" w:rsidR="005618D4" w:rsidRPr="00232EB5" w:rsidRDefault="005618D4">
      <w:pPr>
        <w:ind w:left="900" w:hanging="450"/>
        <w:rPr>
          <w:bCs/>
        </w:rPr>
      </w:pPr>
    </w:p>
    <w:p w14:paraId="0D2681DA" w14:textId="77777777" w:rsidR="005618D4" w:rsidRPr="001D322E" w:rsidRDefault="005618D4" w:rsidP="00955C25">
      <w:pPr>
        <w:pStyle w:val="ListParagraph"/>
        <w:numPr>
          <w:ilvl w:val="0"/>
          <w:numId w:val="16"/>
        </w:numPr>
        <w:ind w:left="900" w:hanging="450"/>
      </w:pPr>
      <w:r w:rsidRPr="001D322E">
        <w:rPr>
          <w:b/>
        </w:rPr>
        <w:t>Project Deliverables</w:t>
      </w:r>
    </w:p>
    <w:p w14:paraId="19504BA2" w14:textId="77777777" w:rsidR="005618D4" w:rsidRPr="001D322E" w:rsidRDefault="005618D4">
      <w:pPr>
        <w:ind w:left="900" w:hanging="450"/>
      </w:pPr>
    </w:p>
    <w:p w14:paraId="38724B9C" w14:textId="77777777" w:rsidR="005618D4" w:rsidRPr="001D322E" w:rsidRDefault="005618D4" w:rsidP="00955C25">
      <w:pPr>
        <w:ind w:left="900"/>
      </w:pPr>
      <w:r w:rsidRPr="001D322E">
        <w:t xml:space="preserve">Project leaders </w:t>
      </w:r>
      <w:r w:rsidR="006B23B9" w:rsidRPr="001D322E">
        <w:t>are responsible for completing</w:t>
      </w:r>
      <w:r w:rsidRPr="001D322E">
        <w:t xml:space="preserve"> the deliverables for each of their projects.  These deliverables are typically identified on the accomplishment reports.</w:t>
      </w:r>
      <w:r w:rsidR="006B23B9" w:rsidRPr="001D322E">
        <w:t xml:space="preserve">  </w:t>
      </w:r>
      <w:r w:rsidRPr="001D322E">
        <w:t xml:space="preserve">Accomplishment reporting dates are identified in the </w:t>
      </w:r>
      <w:r w:rsidR="00BC2F04">
        <w:t>“C</w:t>
      </w:r>
      <w:r w:rsidR="007B24E2" w:rsidRPr="001D322E">
        <w:t>omments</w:t>
      </w:r>
      <w:r w:rsidR="00BC2F04">
        <w:t>”</w:t>
      </w:r>
      <w:r w:rsidR="007B24E2" w:rsidRPr="001D322E">
        <w:t xml:space="preserve"> </w:t>
      </w:r>
      <w:r w:rsidRPr="001D322E">
        <w:t xml:space="preserve">section of </w:t>
      </w:r>
      <w:r w:rsidR="00F817B8" w:rsidRPr="001D322E">
        <w:t xml:space="preserve">screen 008 in </w:t>
      </w:r>
      <w:r w:rsidRPr="001D322E">
        <w:t xml:space="preserve">FAMIS, as well as on the </w:t>
      </w:r>
      <w:r w:rsidR="00BC2F04">
        <w:t>“A</w:t>
      </w:r>
      <w:r w:rsidR="007B24E2" w:rsidRPr="001D322E">
        <w:t>ttributes</w:t>
      </w:r>
      <w:r w:rsidR="00BC2F04">
        <w:t>”</w:t>
      </w:r>
      <w:r w:rsidR="007B24E2" w:rsidRPr="001D322E">
        <w:t xml:space="preserve"> </w:t>
      </w:r>
      <w:r w:rsidRPr="001D322E">
        <w:t xml:space="preserve">tab in Canopy.  </w:t>
      </w:r>
      <w:r w:rsidR="004F1172" w:rsidRPr="001D322E">
        <w:t>Generally</w:t>
      </w:r>
      <w:r w:rsidRPr="001D322E">
        <w:t>, the grants administrator collects, reviews, and forwards accomplishment reports to the funding agencies.</w:t>
      </w:r>
      <w:r w:rsidR="004F1172" w:rsidRPr="001D322E">
        <w:t xml:space="preserve">  If a project leader submits an accomplishment report directly to the funding agency, the grants administrator is copied on the transmittal. </w:t>
      </w:r>
    </w:p>
    <w:p w14:paraId="13CB7DA3" w14:textId="77777777" w:rsidR="005618D4" w:rsidRPr="00232EB5" w:rsidRDefault="005618D4">
      <w:pPr>
        <w:ind w:left="900" w:hanging="450"/>
        <w:rPr>
          <w:bCs/>
        </w:rPr>
      </w:pPr>
    </w:p>
    <w:p w14:paraId="009F8127" w14:textId="77777777" w:rsidR="005618D4" w:rsidRPr="001D322E" w:rsidRDefault="005618D4" w:rsidP="00955C25">
      <w:pPr>
        <w:pStyle w:val="ListParagraph"/>
        <w:numPr>
          <w:ilvl w:val="0"/>
          <w:numId w:val="16"/>
        </w:numPr>
        <w:ind w:left="900" w:hanging="450"/>
      </w:pPr>
      <w:r w:rsidRPr="001D322E">
        <w:rPr>
          <w:b/>
        </w:rPr>
        <w:t>Project Billing</w:t>
      </w:r>
    </w:p>
    <w:p w14:paraId="022A6BB8" w14:textId="77777777" w:rsidR="005618D4" w:rsidRPr="001D322E" w:rsidRDefault="005618D4">
      <w:pPr>
        <w:ind w:left="900" w:hanging="450"/>
      </w:pPr>
    </w:p>
    <w:p w14:paraId="4DC48871" w14:textId="4A450927" w:rsidR="005618D4" w:rsidRPr="001D322E" w:rsidRDefault="005618D4" w:rsidP="00955C25">
      <w:pPr>
        <w:ind w:left="900"/>
      </w:pPr>
      <w:r w:rsidRPr="001D322E">
        <w:t xml:space="preserve">Prior to the end of each month, the grants administrator updates the drawdown </w:t>
      </w:r>
      <w:r w:rsidR="006B23B9" w:rsidRPr="001D322E">
        <w:t xml:space="preserve">work </w:t>
      </w:r>
      <w:r w:rsidRPr="001D322E">
        <w:t xml:space="preserve">sheet and looks for </w:t>
      </w:r>
      <w:r w:rsidR="006B23B9" w:rsidRPr="001D322E">
        <w:t>variances</w:t>
      </w:r>
      <w:r w:rsidRPr="001D322E">
        <w:t xml:space="preserve"> (</w:t>
      </w:r>
      <w:r w:rsidR="0089409D" w:rsidRPr="001D322E">
        <w:t>e.g.,</w:t>
      </w:r>
      <w:r w:rsidR="006B23B9" w:rsidRPr="001D322E">
        <w:t xml:space="preserve"> </w:t>
      </w:r>
      <w:r w:rsidRPr="001D322E">
        <w:t xml:space="preserve">too little or too much </w:t>
      </w:r>
      <w:r w:rsidR="0007172B">
        <w:t>indirect cost</w:t>
      </w:r>
      <w:r w:rsidRPr="001D322E">
        <w:t xml:space="preserve">, over-expenditures/encumbrances, negative drawdown amounts, too little or too much match, etc.).  These </w:t>
      </w:r>
      <w:r w:rsidR="006B23B9" w:rsidRPr="001D322E">
        <w:t>variances</w:t>
      </w:r>
      <w:r w:rsidRPr="001D322E">
        <w:t xml:space="preserve"> are addressed and monitored through the end of the month.  Once month-end close-out has processed in FAMIS, the drawdown </w:t>
      </w:r>
      <w:r w:rsidR="006B23B9" w:rsidRPr="001D322E">
        <w:t xml:space="preserve">work </w:t>
      </w:r>
      <w:r w:rsidRPr="001D322E">
        <w:t xml:space="preserve">sheet is </w:t>
      </w:r>
      <w:r w:rsidR="0089409D" w:rsidRPr="001D322E">
        <w:lastRenderedPageBreak/>
        <w:t>updated,</w:t>
      </w:r>
      <w:r w:rsidRPr="001D322E">
        <w:t xml:space="preserve"> and invoice totals are compared to the </w:t>
      </w:r>
      <w:r w:rsidR="0040306D">
        <w:t>Maestro</w:t>
      </w:r>
      <w:r w:rsidR="0040306D" w:rsidRPr="001D322E">
        <w:t xml:space="preserve"> </w:t>
      </w:r>
      <w:r w:rsidRPr="001D322E">
        <w:t xml:space="preserve">invoice </w:t>
      </w:r>
      <w:r w:rsidR="0040306D">
        <w:t>total report</w:t>
      </w:r>
      <w:r w:rsidRPr="001D322E">
        <w:t xml:space="preserve"> as well as </w:t>
      </w:r>
      <w:r w:rsidR="006B23B9" w:rsidRPr="001D322E">
        <w:t xml:space="preserve">to </w:t>
      </w:r>
      <w:r w:rsidRPr="001D322E">
        <w:t>FAMIS.</w:t>
      </w:r>
      <w:r w:rsidR="0089409D">
        <w:t xml:space="preserve"> </w:t>
      </w:r>
      <w:r w:rsidRPr="001D322E">
        <w:t xml:space="preserve">Invoice documents </w:t>
      </w:r>
      <w:r w:rsidR="006B23B9" w:rsidRPr="001D322E">
        <w:t xml:space="preserve">and drawdown requests </w:t>
      </w:r>
      <w:r w:rsidRPr="001D322E">
        <w:t>are prepared and verified for accuracy.  The</w:t>
      </w:r>
      <w:r w:rsidR="006B23B9" w:rsidRPr="001D322E">
        <w:t>se</w:t>
      </w:r>
      <w:r w:rsidRPr="001D322E">
        <w:t xml:space="preserve"> </w:t>
      </w:r>
      <w:r w:rsidR="006B23B9" w:rsidRPr="001D322E">
        <w:t>documents are</w:t>
      </w:r>
      <w:r w:rsidRPr="001D322E">
        <w:t xml:space="preserve"> routed to the Payroll and Support Services Department Head for review and </w:t>
      </w:r>
      <w:r w:rsidR="006B23B9" w:rsidRPr="001D322E">
        <w:t>approval</w:t>
      </w:r>
      <w:r w:rsidR="0040306D">
        <w:t xml:space="preserve"> and digital signature</w:t>
      </w:r>
      <w:r w:rsidRPr="001D322E">
        <w:t>.</w:t>
      </w:r>
      <w:r w:rsidR="006B23B9" w:rsidRPr="001D322E">
        <w:t xml:space="preserve">  T</w:t>
      </w:r>
      <w:r w:rsidRPr="001D322E">
        <w:t xml:space="preserve">he grants administrator </w:t>
      </w:r>
      <w:r w:rsidR="007D4E65" w:rsidRPr="001D322E">
        <w:t xml:space="preserve">electronically </w:t>
      </w:r>
      <w:r w:rsidR="007D4E65">
        <w:t>prints</w:t>
      </w:r>
      <w:r w:rsidR="0040306D">
        <w:t xml:space="preserve"> from Maestro the signed invoice and </w:t>
      </w:r>
      <w:r w:rsidRPr="001D322E">
        <w:t>submi</w:t>
      </w:r>
      <w:r w:rsidR="006B23B9" w:rsidRPr="001D322E">
        <w:t>t</w:t>
      </w:r>
      <w:r w:rsidRPr="001D322E">
        <w:t>s</w:t>
      </w:r>
      <w:r w:rsidR="006B23B9" w:rsidRPr="001D322E">
        <w:t xml:space="preserve"> the invoices and drawdown requests</w:t>
      </w:r>
      <w:r w:rsidRPr="001D322E">
        <w:t xml:space="preserve"> to the </w:t>
      </w:r>
      <w:r w:rsidR="006B23B9" w:rsidRPr="001D322E">
        <w:t>respective</w:t>
      </w:r>
      <w:r w:rsidRPr="001D322E">
        <w:t xml:space="preserve"> funding agencies</w:t>
      </w:r>
      <w:r w:rsidR="0040306D">
        <w:t xml:space="preserve"> or prints SF270 from </w:t>
      </w:r>
      <w:r w:rsidR="0089409D">
        <w:t>d</w:t>
      </w:r>
      <w:r w:rsidR="0040306D">
        <w:t>rawdown with signed page for agencies requiring the SF270</w:t>
      </w:r>
      <w:r w:rsidR="0089409D">
        <w:t>,</w:t>
      </w:r>
      <w:r w:rsidR="0040306D">
        <w:t xml:space="preserve"> instead of Maestro invoice</w:t>
      </w:r>
      <w:r w:rsidRPr="001D322E">
        <w:t>.  A list of all invoices is forwarded from the grants administrator to Accounts Receivable so that the payments can be verified upon receipt.</w:t>
      </w:r>
    </w:p>
    <w:p w14:paraId="07B32C49" w14:textId="77777777" w:rsidR="006B23B9" w:rsidRPr="001D322E" w:rsidRDefault="006B23B9">
      <w:pPr>
        <w:ind w:left="900" w:hanging="450"/>
      </w:pPr>
    </w:p>
    <w:p w14:paraId="7FB6A46A" w14:textId="77777777" w:rsidR="005618D4" w:rsidRPr="001D322E" w:rsidRDefault="005618D4" w:rsidP="00955C25">
      <w:pPr>
        <w:ind w:left="900"/>
      </w:pPr>
      <w:r w:rsidRPr="001D322E">
        <w:t xml:space="preserve">Periodic financial reports are often required as part of the terms and conditions of an award.  These </w:t>
      </w:r>
      <w:r w:rsidR="006B23B9" w:rsidRPr="001D322E">
        <w:t xml:space="preserve">reports </w:t>
      </w:r>
      <w:r w:rsidRPr="001D322E">
        <w:t>are prepared by the grants administrator and follow the same approval process as the invoices.</w:t>
      </w:r>
    </w:p>
    <w:p w14:paraId="1CCE63AE" w14:textId="77777777" w:rsidR="005618D4" w:rsidRPr="00232EB5" w:rsidRDefault="005618D4">
      <w:pPr>
        <w:ind w:left="900" w:hanging="450"/>
        <w:rPr>
          <w:bCs/>
        </w:rPr>
      </w:pPr>
    </w:p>
    <w:p w14:paraId="34D2D6B7" w14:textId="77777777" w:rsidR="005618D4" w:rsidRPr="001D322E" w:rsidRDefault="005618D4" w:rsidP="00955C25">
      <w:pPr>
        <w:pStyle w:val="ListParagraph"/>
        <w:numPr>
          <w:ilvl w:val="0"/>
          <w:numId w:val="16"/>
        </w:numPr>
        <w:ind w:left="900" w:hanging="450"/>
      </w:pPr>
      <w:r w:rsidRPr="001D322E">
        <w:rPr>
          <w:b/>
        </w:rPr>
        <w:t>Project Closeout</w:t>
      </w:r>
    </w:p>
    <w:p w14:paraId="1783EF6B" w14:textId="77777777" w:rsidR="005618D4" w:rsidRPr="001D322E" w:rsidRDefault="005618D4">
      <w:pPr>
        <w:ind w:left="900" w:hanging="450"/>
      </w:pPr>
    </w:p>
    <w:p w14:paraId="3B84938B" w14:textId="77777777" w:rsidR="005618D4" w:rsidRPr="001D322E" w:rsidRDefault="005618D4" w:rsidP="00955C25">
      <w:pPr>
        <w:ind w:left="900"/>
      </w:pPr>
      <w:r w:rsidRPr="001D322E">
        <w:t xml:space="preserve">Once a project is closed and all final expenditures have cleared FAMIS, a final invoice and/or final financial report is prepared.  This is typically done right after the month-end close in FAMIS.  Most grants have a 90-day close-out period.  Sometimes, expenses such as credit card bills and hotel invoices are slow to be sent to the agency.  Project leaders and voucher preparers are instructed to </w:t>
      </w:r>
      <w:r w:rsidR="00D34043" w:rsidRPr="001D322E">
        <w:t>expedite submission of</w:t>
      </w:r>
      <w:r w:rsidRPr="001D322E">
        <w:t xml:space="preserve"> all final bills to Accounts Payable so </w:t>
      </w:r>
      <w:r w:rsidR="00D34043" w:rsidRPr="001D322E">
        <w:t xml:space="preserve">that </w:t>
      </w:r>
      <w:r w:rsidRPr="001D322E">
        <w:t>they can be entered into FAMIS within 60 days.  The close-out paperwork is then prepared in the final 30 days.</w:t>
      </w:r>
    </w:p>
    <w:p w14:paraId="681D13C2" w14:textId="77777777" w:rsidR="005618D4" w:rsidRPr="001D322E" w:rsidRDefault="005618D4">
      <w:pPr>
        <w:ind w:left="900" w:hanging="450"/>
      </w:pPr>
    </w:p>
    <w:p w14:paraId="3E8BF8A1" w14:textId="77777777" w:rsidR="005618D4" w:rsidRPr="001D322E" w:rsidRDefault="005618D4" w:rsidP="00955C25">
      <w:pPr>
        <w:ind w:left="900"/>
      </w:pPr>
      <w:r w:rsidRPr="001D322E">
        <w:t>The project leader is notified when the grant is closed and that a final accomplishment report is due.  If the accomplishment report is remitted to the grants administrator in time, it will be sent to the funding agency along with the final invoice and financial report.  If not, it will be sent separately.</w:t>
      </w:r>
    </w:p>
    <w:p w14:paraId="1ACE1BB2" w14:textId="77777777" w:rsidR="005618D4" w:rsidRPr="001D322E" w:rsidRDefault="005618D4">
      <w:pPr>
        <w:ind w:left="900" w:hanging="450"/>
      </w:pPr>
    </w:p>
    <w:p w14:paraId="70094205" w14:textId="77777777" w:rsidR="005618D4" w:rsidRPr="001D322E" w:rsidRDefault="005618D4" w:rsidP="00955C25">
      <w:pPr>
        <w:ind w:left="900"/>
      </w:pPr>
      <w:r w:rsidRPr="001D322E">
        <w:t xml:space="preserve">If there are funds remaining in the grant account, a </w:t>
      </w:r>
      <w:r w:rsidR="00F817B8" w:rsidRPr="001D322E">
        <w:t>B</w:t>
      </w:r>
      <w:r w:rsidRPr="001D322E">
        <w:t>udget</w:t>
      </w:r>
      <w:r w:rsidR="00F817B8" w:rsidRPr="001D322E">
        <w:t xml:space="preserve"> Change Request form</w:t>
      </w:r>
      <w:r w:rsidRPr="001D322E">
        <w:t xml:space="preserve"> is processed by the grants administrator and sent to the Budgets and Accounting Department Head to zero out the residual budget.  Once the remaining budget is at zero, the grants administrator sends the Budget and Accounting Department Head an email requesting that the Freeze and Delete flags be set to </w:t>
      </w:r>
      <w:r w:rsidR="00D34043" w:rsidRPr="001D322E">
        <w:t>“</w:t>
      </w:r>
      <w:r w:rsidRPr="001D322E">
        <w:t>Yes.</w:t>
      </w:r>
      <w:r w:rsidR="00D34043" w:rsidRPr="001D322E">
        <w:t>”</w:t>
      </w:r>
    </w:p>
    <w:p w14:paraId="2E36A929" w14:textId="77777777" w:rsidR="005618D4" w:rsidRPr="001D322E" w:rsidRDefault="005618D4">
      <w:pPr>
        <w:ind w:left="900" w:hanging="450"/>
      </w:pPr>
    </w:p>
    <w:p w14:paraId="020460BE" w14:textId="152C38D5" w:rsidR="005618D4" w:rsidRPr="001D322E" w:rsidRDefault="005618D4" w:rsidP="00955C25">
      <w:pPr>
        <w:ind w:left="900"/>
      </w:pPr>
      <w:r w:rsidRPr="001D322E">
        <w:t xml:space="preserve">The Status </w:t>
      </w:r>
      <w:r w:rsidR="0040306D">
        <w:t>in Maestro</w:t>
      </w:r>
      <w:r w:rsidRPr="001D322E">
        <w:t xml:space="preserve"> is changed from Active to Terminated and the Bill Mode is changed from “A” for Automatic to “N” for No Bill.  </w:t>
      </w:r>
    </w:p>
    <w:p w14:paraId="7CFFFA23" w14:textId="77777777" w:rsidR="005618D4" w:rsidRPr="001D322E" w:rsidRDefault="005618D4">
      <w:pPr>
        <w:ind w:left="900" w:hanging="450"/>
      </w:pPr>
    </w:p>
    <w:p w14:paraId="032C1BDD" w14:textId="662D7B2C" w:rsidR="005618D4" w:rsidRPr="001D322E" w:rsidRDefault="005618D4" w:rsidP="00955C25">
      <w:pPr>
        <w:ind w:left="900"/>
      </w:pPr>
      <w:r w:rsidRPr="001D322E">
        <w:t xml:space="preserve">When the final accomplishment report is submitted, a “Closed” date is noted on the grant file.  The </w:t>
      </w:r>
      <w:r w:rsidR="00F817B8" w:rsidRPr="001D322E">
        <w:t xml:space="preserve">records </w:t>
      </w:r>
      <w:r w:rsidRPr="001D322E">
        <w:t xml:space="preserve">retention </w:t>
      </w:r>
      <w:r w:rsidR="00F817B8" w:rsidRPr="001D322E">
        <w:t>period</w:t>
      </w:r>
      <w:r w:rsidRPr="001D322E">
        <w:t xml:space="preserve"> for grants is 6 years from closeout.</w:t>
      </w:r>
    </w:p>
    <w:p w14:paraId="4E359D2A" w14:textId="77777777" w:rsidR="00013A7B" w:rsidRPr="001D322E" w:rsidRDefault="00013A7B">
      <w:pPr>
        <w:pStyle w:val="BodyTextIndent2"/>
        <w:ind w:left="450" w:hanging="450"/>
        <w:rPr>
          <w:sz w:val="24"/>
          <w:szCs w:val="24"/>
        </w:rPr>
      </w:pPr>
    </w:p>
    <w:p w14:paraId="79DB30B8" w14:textId="77777777" w:rsidR="00013A7B" w:rsidRPr="001D322E" w:rsidRDefault="00013A7B"/>
    <w:p w14:paraId="68E8F93A" w14:textId="7A5CF681" w:rsidR="00A90EE8" w:rsidRPr="001D322E" w:rsidRDefault="00013A7B" w:rsidP="0011764C">
      <w:pPr>
        <w:jc w:val="center"/>
      </w:pPr>
      <w:r w:rsidRPr="001D322E">
        <w:rPr>
          <w:snapToGrid w:val="0"/>
        </w:rPr>
        <w:t>CONTACT:</w:t>
      </w:r>
      <w:r w:rsidRPr="001D322E">
        <w:rPr>
          <w:snapToGrid w:val="0"/>
        </w:rPr>
        <w:tab/>
      </w:r>
      <w:hyperlink r:id="rId8" w:history="1">
        <w:r w:rsidR="005618D4" w:rsidRPr="00C47451">
          <w:rPr>
            <w:rStyle w:val="Hyperlink"/>
            <w:snapToGrid w:val="0"/>
          </w:rPr>
          <w:t>Grants Administrator</w:t>
        </w:r>
      </w:hyperlink>
      <w:r w:rsidRPr="001D322E">
        <w:rPr>
          <w:snapToGrid w:val="0"/>
        </w:rPr>
        <w:t>, 979/458-66</w:t>
      </w:r>
      <w:r w:rsidR="005618D4" w:rsidRPr="001D322E">
        <w:rPr>
          <w:snapToGrid w:val="0"/>
        </w:rPr>
        <w:t>83</w:t>
      </w:r>
    </w:p>
    <w:sectPr w:rsidR="00A90EE8" w:rsidRPr="001D322E" w:rsidSect="00C0454D">
      <w:headerReference w:type="default" r:id="rId9"/>
      <w:footerReference w:type="even" r:id="rId10"/>
      <w:footerReference w:type="default" r:id="rId1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5335" w14:textId="77777777" w:rsidR="001161A7" w:rsidRDefault="001161A7" w:rsidP="001E3283">
      <w:r>
        <w:separator/>
      </w:r>
    </w:p>
  </w:endnote>
  <w:endnote w:type="continuationSeparator" w:id="0">
    <w:p w14:paraId="56CD6B27" w14:textId="77777777" w:rsidR="001161A7" w:rsidRDefault="001161A7" w:rsidP="001E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931262"/>
      <w:docPartObj>
        <w:docPartGallery w:val="Page Numbers (Bottom of Page)"/>
        <w:docPartUnique/>
      </w:docPartObj>
    </w:sdtPr>
    <w:sdtEndPr>
      <w:rPr>
        <w:rStyle w:val="PageNumber"/>
      </w:rPr>
    </w:sdtEndPr>
    <w:sdtContent>
      <w:p w14:paraId="2B90BED2" w14:textId="5DB0A4C9" w:rsidR="005A4937" w:rsidRDefault="005A4937" w:rsidP="00745A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FA1ACA" w14:textId="77777777" w:rsidR="005A4937" w:rsidRDefault="005A4937" w:rsidP="005A49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1AF1" w14:textId="16458AC6" w:rsidR="005A4937" w:rsidRDefault="005A4937" w:rsidP="00745A71">
    <w:pPr>
      <w:pStyle w:val="Footer"/>
      <w:framePr w:wrap="none" w:vAnchor="text" w:hAnchor="margin" w:xAlign="right" w:y="1"/>
      <w:rPr>
        <w:rStyle w:val="PageNumber"/>
      </w:rPr>
    </w:pPr>
  </w:p>
  <w:p w14:paraId="6E985604" w14:textId="4666F4D3" w:rsidR="00F76D05" w:rsidRPr="00955C25" w:rsidRDefault="00F76D05" w:rsidP="00F76D05">
    <w:pPr>
      <w:pBdr>
        <w:top w:val="thinThickSmallGap" w:sz="24" w:space="0" w:color="622423" w:themeColor="accent2" w:themeShade="7F"/>
      </w:pBdr>
      <w:tabs>
        <w:tab w:val="center" w:pos="4680"/>
        <w:tab w:val="right" w:pos="9360"/>
      </w:tabs>
      <w:rPr>
        <w:rFonts w:ascii="Cambria" w:hAnsi="Cambria"/>
        <w:sz w:val="20"/>
        <w:szCs w:val="20"/>
      </w:rPr>
    </w:pPr>
    <w:r w:rsidRPr="00EA5356">
      <w:rPr>
        <w:rFonts w:ascii="Cambria" w:hAnsi="Cambria"/>
        <w:i/>
        <w:sz w:val="20"/>
        <w:szCs w:val="20"/>
      </w:rPr>
      <w:t xml:space="preserve">Revised </w:t>
    </w:r>
    <w:r w:rsidR="0084151A">
      <w:rPr>
        <w:rFonts w:ascii="Cambria" w:hAnsi="Cambria"/>
        <w:i/>
        <w:sz w:val="20"/>
        <w:szCs w:val="20"/>
      </w:rPr>
      <w:t>11</w:t>
    </w:r>
    <w:r w:rsidRPr="00EA5356">
      <w:rPr>
        <w:rFonts w:ascii="Cambria" w:hAnsi="Cambria"/>
        <w:i/>
        <w:sz w:val="20"/>
        <w:szCs w:val="20"/>
      </w:rPr>
      <w:t>/</w:t>
    </w:r>
    <w:r w:rsidR="0084151A">
      <w:rPr>
        <w:rFonts w:ascii="Cambria" w:hAnsi="Cambria"/>
        <w:i/>
        <w:sz w:val="20"/>
        <w:szCs w:val="20"/>
      </w:rPr>
      <w:t>15</w:t>
    </w:r>
    <w:r w:rsidRPr="00EA5356">
      <w:rPr>
        <w:rFonts w:ascii="Cambria" w:hAnsi="Cambria"/>
        <w:i/>
        <w:sz w:val="20"/>
        <w:szCs w:val="20"/>
      </w:rPr>
      <w:t>/21</w:t>
    </w:r>
    <w:r w:rsidRPr="00EA5356">
      <w:rPr>
        <w:rFonts w:asciiTheme="majorHAnsi" w:hAnsiTheme="majorHAnsi"/>
        <w:sz w:val="20"/>
        <w:szCs w:val="20"/>
      </w:rPr>
      <w:ptab w:relativeTo="margin" w:alignment="right" w:leader="none"/>
    </w:r>
    <w:r w:rsidRPr="00EA5356">
      <w:rPr>
        <w:rFonts w:ascii="Cambria" w:hAnsi="Cambria"/>
        <w:sz w:val="20"/>
        <w:szCs w:val="20"/>
      </w:rPr>
      <w:t xml:space="preserve">Page </w:t>
    </w:r>
    <w:r w:rsidRPr="00EA5356">
      <w:rPr>
        <w:rFonts w:ascii="Cambria" w:hAnsi="Cambria"/>
        <w:sz w:val="20"/>
        <w:szCs w:val="20"/>
      </w:rPr>
      <w:fldChar w:fldCharType="begin"/>
    </w:r>
    <w:r w:rsidRPr="00EA5356">
      <w:rPr>
        <w:rFonts w:ascii="Cambria" w:hAnsi="Cambria"/>
        <w:sz w:val="20"/>
        <w:szCs w:val="20"/>
      </w:rPr>
      <w:instrText xml:space="preserve"> PAGE   \* MERGEFORMAT </w:instrText>
    </w:r>
    <w:r w:rsidRPr="00EA5356">
      <w:rPr>
        <w:rFonts w:ascii="Cambria" w:hAnsi="Cambria"/>
        <w:sz w:val="20"/>
        <w:szCs w:val="20"/>
      </w:rPr>
      <w:fldChar w:fldCharType="separate"/>
    </w:r>
    <w:r>
      <w:rPr>
        <w:rFonts w:ascii="Cambria" w:hAnsi="Cambria"/>
        <w:sz w:val="20"/>
        <w:szCs w:val="20"/>
      </w:rPr>
      <w:t>1</w:t>
    </w:r>
    <w:r w:rsidRPr="00EA5356">
      <w:rPr>
        <w:rFonts w:ascii="Cambria" w:hAnsi="Cambria"/>
        <w:sz w:val="20"/>
        <w:szCs w:val="20"/>
      </w:rPr>
      <w:fldChar w:fldCharType="end"/>
    </w:r>
  </w:p>
  <w:p w14:paraId="484FC68F" w14:textId="41434DE1" w:rsidR="001E3283" w:rsidRDefault="001E3283" w:rsidP="00F76D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0AFB" w14:textId="77777777" w:rsidR="001161A7" w:rsidRDefault="001161A7" w:rsidP="001E3283">
      <w:r>
        <w:separator/>
      </w:r>
    </w:p>
  </w:footnote>
  <w:footnote w:type="continuationSeparator" w:id="0">
    <w:p w14:paraId="0E4D7F7B" w14:textId="77777777" w:rsidR="001161A7" w:rsidRDefault="001161A7" w:rsidP="001E3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0BAC" w14:textId="02CCE880" w:rsidR="000C34EA" w:rsidRDefault="0051423A">
    <w:pPr>
      <w:pStyle w:val="Header"/>
      <w:pBdr>
        <w:bottom w:val="thickThinSmallGap" w:sz="24" w:space="1" w:color="622423" w:themeColor="accent2" w:themeShade="7F"/>
      </w:pBdr>
      <w:jc w:val="center"/>
      <w:rPr>
        <w:rFonts w:eastAsiaTheme="majorEastAsia"/>
      </w:rPr>
    </w:pPr>
    <w:r>
      <w:rPr>
        <w:noProof/>
      </w:rPr>
      <w:drawing>
        <wp:inline distT="0" distB="0" distL="0" distR="0" wp14:anchorId="621F9E10" wp14:editId="71FFC1BF">
          <wp:extent cx="1828800" cy="411480"/>
          <wp:effectExtent l="0" t="0" r="0" b="7620"/>
          <wp:docPr id="1" name="Picture 1"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2C54A7F1" w14:textId="77777777" w:rsidR="000C34EA" w:rsidRPr="000C34EA" w:rsidRDefault="000C34EA">
    <w:pPr>
      <w:pStyle w:val="Header"/>
      <w:pBdr>
        <w:bottom w:val="thickThinSmallGap" w:sz="24" w:space="1" w:color="622423" w:themeColor="accent2" w:themeShade="7F"/>
      </w:pBdr>
      <w:jc w:val="center"/>
      <w:rPr>
        <w:rFonts w:eastAsiaTheme="majorEastAsia"/>
      </w:rPr>
    </w:pPr>
  </w:p>
  <w:p w14:paraId="46BB95F4" w14:textId="77777777" w:rsidR="000C34EA" w:rsidRPr="000C34EA" w:rsidRDefault="005618D4">
    <w:pPr>
      <w:pStyle w:val="Header"/>
      <w:pBdr>
        <w:bottom w:val="thickThinSmallGap" w:sz="24" w:space="1" w:color="622423" w:themeColor="accent2" w:themeShade="7F"/>
      </w:pBdr>
      <w:jc w:val="center"/>
      <w:rPr>
        <w:rFonts w:ascii="Cambria" w:eastAsiaTheme="majorEastAsia" w:hAnsi="Cambria" w:cstheme="majorBidi"/>
        <w:i/>
        <w:sz w:val="32"/>
        <w:szCs w:val="32"/>
      </w:rPr>
    </w:pPr>
    <w:r>
      <w:rPr>
        <w:rFonts w:ascii="Cambria" w:eastAsiaTheme="majorEastAsia" w:hAnsi="Cambria" w:cstheme="majorBidi"/>
        <w:i/>
        <w:sz w:val="32"/>
        <w:szCs w:val="32"/>
      </w:rPr>
      <w:t>Sponsored Agreement Administration Guidelines</w:t>
    </w:r>
  </w:p>
  <w:p w14:paraId="25747D78" w14:textId="77777777" w:rsidR="000C34EA" w:rsidRDefault="000C3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AF9"/>
    <w:multiLevelType w:val="hybridMultilevel"/>
    <w:tmpl w:val="4A88BF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03A1B"/>
    <w:multiLevelType w:val="hybridMultilevel"/>
    <w:tmpl w:val="DC7621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C519B"/>
    <w:multiLevelType w:val="hybridMultilevel"/>
    <w:tmpl w:val="DEAE6E8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B09D9"/>
    <w:multiLevelType w:val="hybridMultilevel"/>
    <w:tmpl w:val="FFCCE3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A72CE9"/>
    <w:multiLevelType w:val="hybridMultilevel"/>
    <w:tmpl w:val="511AE4F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1EE5251"/>
    <w:multiLevelType w:val="hybridMultilevel"/>
    <w:tmpl w:val="8C6E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81700E"/>
    <w:multiLevelType w:val="hybridMultilevel"/>
    <w:tmpl w:val="0240952A"/>
    <w:lvl w:ilvl="0" w:tplc="C1B837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366F10DF"/>
    <w:multiLevelType w:val="hybridMultilevel"/>
    <w:tmpl w:val="FE20B226"/>
    <w:lvl w:ilvl="0" w:tplc="A006A80C">
      <w:start w:val="3"/>
      <w:numFmt w:val="decimal"/>
      <w:lvlText w:val="%1."/>
      <w:lvlJc w:val="left"/>
      <w:pPr>
        <w:ind w:left="81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EE235B3"/>
    <w:multiLevelType w:val="hybridMultilevel"/>
    <w:tmpl w:val="FCA037EA"/>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7173ED"/>
    <w:multiLevelType w:val="multilevel"/>
    <w:tmpl w:val="FCA037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965D69"/>
    <w:multiLevelType w:val="multilevel"/>
    <w:tmpl w:val="01FA1B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1F614A"/>
    <w:multiLevelType w:val="hybridMultilevel"/>
    <w:tmpl w:val="0CA22502"/>
    <w:lvl w:ilvl="0" w:tplc="3DD8148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AA316A"/>
    <w:multiLevelType w:val="multilevel"/>
    <w:tmpl w:val="4A88BF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2E30A5"/>
    <w:multiLevelType w:val="hybridMultilevel"/>
    <w:tmpl w:val="C7324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5A1F96"/>
    <w:multiLevelType w:val="hybridMultilevel"/>
    <w:tmpl w:val="CAD4C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B22FC6"/>
    <w:multiLevelType w:val="hybridMultilevel"/>
    <w:tmpl w:val="01FA1B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E8345C"/>
    <w:multiLevelType w:val="multilevel"/>
    <w:tmpl w:val="DC7621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E31D34"/>
    <w:multiLevelType w:val="multilevel"/>
    <w:tmpl w:val="C7324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4"/>
  </w:num>
  <w:num w:numId="4">
    <w:abstractNumId w:val="13"/>
  </w:num>
  <w:num w:numId="5">
    <w:abstractNumId w:val="17"/>
  </w:num>
  <w:num w:numId="6">
    <w:abstractNumId w:val="3"/>
  </w:num>
  <w:num w:numId="7">
    <w:abstractNumId w:val="1"/>
  </w:num>
  <w:num w:numId="8">
    <w:abstractNumId w:val="16"/>
  </w:num>
  <w:num w:numId="9">
    <w:abstractNumId w:val="15"/>
  </w:num>
  <w:num w:numId="10">
    <w:abstractNumId w:val="10"/>
  </w:num>
  <w:num w:numId="11">
    <w:abstractNumId w:val="8"/>
  </w:num>
  <w:num w:numId="12">
    <w:abstractNumId w:val="9"/>
  </w:num>
  <w:num w:numId="13">
    <w:abstractNumId w:val="2"/>
  </w:num>
  <w:num w:numId="14">
    <w:abstractNumId w:val="5"/>
  </w:num>
  <w:num w:numId="15">
    <w:abstractNumId w:val="11"/>
  </w:num>
  <w:num w:numId="16">
    <w:abstractNumId w:val="7"/>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CXpRDsgFQE8sOh3Eh1bU+PyJP9arOZ3tPPwr/xO+WDeapZT680sQ+kwrC7D/0SXho4NNGKpNj+t+CwGjN/vjQ==" w:salt="+BtY4+UvCx1P9V61/JZZCQ=="/>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E8"/>
    <w:rsid w:val="00011570"/>
    <w:rsid w:val="00013A7B"/>
    <w:rsid w:val="00032AB2"/>
    <w:rsid w:val="000359E8"/>
    <w:rsid w:val="00054B72"/>
    <w:rsid w:val="0007172B"/>
    <w:rsid w:val="000964E5"/>
    <w:rsid w:val="000C2A23"/>
    <w:rsid w:val="000C34EA"/>
    <w:rsid w:val="001161A7"/>
    <w:rsid w:val="0011764C"/>
    <w:rsid w:val="00142130"/>
    <w:rsid w:val="00195E45"/>
    <w:rsid w:val="001D322E"/>
    <w:rsid w:val="001E3283"/>
    <w:rsid w:val="001E544C"/>
    <w:rsid w:val="001F0B18"/>
    <w:rsid w:val="00214F0B"/>
    <w:rsid w:val="00232EB5"/>
    <w:rsid w:val="00243E63"/>
    <w:rsid w:val="002917BE"/>
    <w:rsid w:val="002B10B1"/>
    <w:rsid w:val="002B49B1"/>
    <w:rsid w:val="002C0E7D"/>
    <w:rsid w:val="002F41BA"/>
    <w:rsid w:val="002F59B4"/>
    <w:rsid w:val="00324174"/>
    <w:rsid w:val="003721A2"/>
    <w:rsid w:val="00377028"/>
    <w:rsid w:val="003A630C"/>
    <w:rsid w:val="003C28D9"/>
    <w:rsid w:val="003C46B8"/>
    <w:rsid w:val="0040306D"/>
    <w:rsid w:val="00433129"/>
    <w:rsid w:val="004A51BF"/>
    <w:rsid w:val="004F1172"/>
    <w:rsid w:val="005113B5"/>
    <w:rsid w:val="0051423A"/>
    <w:rsid w:val="005618D4"/>
    <w:rsid w:val="005A4937"/>
    <w:rsid w:val="005E1AC6"/>
    <w:rsid w:val="005E6154"/>
    <w:rsid w:val="005F0979"/>
    <w:rsid w:val="0063555C"/>
    <w:rsid w:val="00657D4D"/>
    <w:rsid w:val="0066315B"/>
    <w:rsid w:val="006646EF"/>
    <w:rsid w:val="00672474"/>
    <w:rsid w:val="006B23B9"/>
    <w:rsid w:val="006C30A3"/>
    <w:rsid w:val="006E33E5"/>
    <w:rsid w:val="006E6314"/>
    <w:rsid w:val="00706D95"/>
    <w:rsid w:val="00740AA5"/>
    <w:rsid w:val="00753E7E"/>
    <w:rsid w:val="00763C5B"/>
    <w:rsid w:val="007943BA"/>
    <w:rsid w:val="007B24E2"/>
    <w:rsid w:val="007D4E65"/>
    <w:rsid w:val="007D7023"/>
    <w:rsid w:val="007F7172"/>
    <w:rsid w:val="00823B69"/>
    <w:rsid w:val="00835FC1"/>
    <w:rsid w:val="0084151A"/>
    <w:rsid w:val="008569AD"/>
    <w:rsid w:val="008848CF"/>
    <w:rsid w:val="0089409D"/>
    <w:rsid w:val="008A0A24"/>
    <w:rsid w:val="008C495D"/>
    <w:rsid w:val="00906F46"/>
    <w:rsid w:val="0093557E"/>
    <w:rsid w:val="009519B5"/>
    <w:rsid w:val="00955C25"/>
    <w:rsid w:val="009639CB"/>
    <w:rsid w:val="009B602E"/>
    <w:rsid w:val="009B6258"/>
    <w:rsid w:val="00A02B3A"/>
    <w:rsid w:val="00A12F98"/>
    <w:rsid w:val="00A333FB"/>
    <w:rsid w:val="00A37793"/>
    <w:rsid w:val="00A90EE8"/>
    <w:rsid w:val="00A95EBA"/>
    <w:rsid w:val="00AE669F"/>
    <w:rsid w:val="00B01D81"/>
    <w:rsid w:val="00B07F4B"/>
    <w:rsid w:val="00B15FE8"/>
    <w:rsid w:val="00B24871"/>
    <w:rsid w:val="00B43862"/>
    <w:rsid w:val="00B52414"/>
    <w:rsid w:val="00B66E06"/>
    <w:rsid w:val="00B930A1"/>
    <w:rsid w:val="00BB2985"/>
    <w:rsid w:val="00BB5ABB"/>
    <w:rsid w:val="00BC2F04"/>
    <w:rsid w:val="00BC6683"/>
    <w:rsid w:val="00BD0D72"/>
    <w:rsid w:val="00C0454D"/>
    <w:rsid w:val="00C13447"/>
    <w:rsid w:val="00C23C09"/>
    <w:rsid w:val="00C338E1"/>
    <w:rsid w:val="00C47451"/>
    <w:rsid w:val="00C61A23"/>
    <w:rsid w:val="00C765B5"/>
    <w:rsid w:val="00CE4580"/>
    <w:rsid w:val="00CE45CD"/>
    <w:rsid w:val="00CF6440"/>
    <w:rsid w:val="00D1212D"/>
    <w:rsid w:val="00D34043"/>
    <w:rsid w:val="00DE36AC"/>
    <w:rsid w:val="00DF022B"/>
    <w:rsid w:val="00E617D6"/>
    <w:rsid w:val="00EC2248"/>
    <w:rsid w:val="00ED19C3"/>
    <w:rsid w:val="00F02400"/>
    <w:rsid w:val="00F20266"/>
    <w:rsid w:val="00F76D05"/>
    <w:rsid w:val="00F817B8"/>
    <w:rsid w:val="00F87F0C"/>
    <w:rsid w:val="00FB13A9"/>
    <w:rsid w:val="00FB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898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5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3283"/>
    <w:pPr>
      <w:tabs>
        <w:tab w:val="center" w:pos="4680"/>
        <w:tab w:val="right" w:pos="9360"/>
      </w:tabs>
    </w:pPr>
  </w:style>
  <w:style w:type="character" w:customStyle="1" w:styleId="HeaderChar">
    <w:name w:val="Header Char"/>
    <w:basedOn w:val="DefaultParagraphFont"/>
    <w:link w:val="Header"/>
    <w:uiPriority w:val="99"/>
    <w:rsid w:val="001E3283"/>
    <w:rPr>
      <w:sz w:val="24"/>
      <w:szCs w:val="24"/>
    </w:rPr>
  </w:style>
  <w:style w:type="paragraph" w:styleId="Footer">
    <w:name w:val="footer"/>
    <w:basedOn w:val="Normal"/>
    <w:link w:val="FooterChar"/>
    <w:uiPriority w:val="99"/>
    <w:rsid w:val="001E3283"/>
    <w:pPr>
      <w:tabs>
        <w:tab w:val="center" w:pos="4680"/>
        <w:tab w:val="right" w:pos="9360"/>
      </w:tabs>
    </w:pPr>
  </w:style>
  <w:style w:type="character" w:customStyle="1" w:styleId="FooterChar">
    <w:name w:val="Footer Char"/>
    <w:basedOn w:val="DefaultParagraphFont"/>
    <w:link w:val="Footer"/>
    <w:uiPriority w:val="99"/>
    <w:rsid w:val="001E3283"/>
    <w:rPr>
      <w:sz w:val="24"/>
      <w:szCs w:val="24"/>
    </w:rPr>
  </w:style>
  <w:style w:type="paragraph" w:styleId="BalloonText">
    <w:name w:val="Balloon Text"/>
    <w:basedOn w:val="Normal"/>
    <w:link w:val="BalloonTextChar"/>
    <w:rsid w:val="0066315B"/>
    <w:rPr>
      <w:rFonts w:ascii="Tahoma" w:hAnsi="Tahoma" w:cs="Tahoma"/>
      <w:sz w:val="16"/>
      <w:szCs w:val="16"/>
    </w:rPr>
  </w:style>
  <w:style w:type="character" w:customStyle="1" w:styleId="BalloonTextChar">
    <w:name w:val="Balloon Text Char"/>
    <w:basedOn w:val="DefaultParagraphFont"/>
    <w:link w:val="BalloonText"/>
    <w:rsid w:val="0066315B"/>
    <w:rPr>
      <w:rFonts w:ascii="Tahoma" w:hAnsi="Tahoma" w:cs="Tahoma"/>
      <w:sz w:val="16"/>
      <w:szCs w:val="16"/>
    </w:rPr>
  </w:style>
  <w:style w:type="paragraph" w:styleId="BodyTextIndent">
    <w:name w:val="Body Text Indent"/>
    <w:basedOn w:val="Normal"/>
    <w:link w:val="BodyTextIndentChar"/>
    <w:rsid w:val="00013A7B"/>
    <w:pPr>
      <w:ind w:left="720" w:hanging="720"/>
    </w:pPr>
    <w:rPr>
      <w:szCs w:val="20"/>
    </w:rPr>
  </w:style>
  <w:style w:type="character" w:customStyle="1" w:styleId="BodyTextIndentChar">
    <w:name w:val="Body Text Indent Char"/>
    <w:basedOn w:val="DefaultParagraphFont"/>
    <w:link w:val="BodyTextIndent"/>
    <w:rsid w:val="00013A7B"/>
    <w:rPr>
      <w:sz w:val="24"/>
    </w:rPr>
  </w:style>
  <w:style w:type="paragraph" w:styleId="BodyTextIndent2">
    <w:name w:val="Body Text Indent 2"/>
    <w:basedOn w:val="Normal"/>
    <w:link w:val="BodyTextIndent2Char"/>
    <w:rsid w:val="00013A7B"/>
    <w:pPr>
      <w:ind w:left="720" w:hanging="720"/>
    </w:pPr>
    <w:rPr>
      <w:sz w:val="22"/>
      <w:szCs w:val="20"/>
    </w:rPr>
  </w:style>
  <w:style w:type="character" w:customStyle="1" w:styleId="BodyTextIndent2Char">
    <w:name w:val="Body Text Indent 2 Char"/>
    <w:basedOn w:val="DefaultParagraphFont"/>
    <w:link w:val="BodyTextIndent2"/>
    <w:rsid w:val="00013A7B"/>
    <w:rPr>
      <w:sz w:val="22"/>
    </w:rPr>
  </w:style>
  <w:style w:type="character" w:styleId="Hyperlink">
    <w:name w:val="Hyperlink"/>
    <w:basedOn w:val="DefaultParagraphFont"/>
    <w:rsid w:val="00013A7B"/>
    <w:rPr>
      <w:color w:val="0000FF"/>
      <w:u w:val="single"/>
    </w:rPr>
  </w:style>
  <w:style w:type="paragraph" w:styleId="ListParagraph">
    <w:name w:val="List Paragraph"/>
    <w:basedOn w:val="Normal"/>
    <w:uiPriority w:val="34"/>
    <w:qFormat/>
    <w:rsid w:val="005618D4"/>
    <w:pPr>
      <w:ind w:left="720"/>
      <w:contextualSpacing/>
    </w:pPr>
  </w:style>
  <w:style w:type="character" w:styleId="CommentReference">
    <w:name w:val="annotation reference"/>
    <w:basedOn w:val="DefaultParagraphFont"/>
    <w:rsid w:val="006B23B9"/>
    <w:rPr>
      <w:sz w:val="16"/>
      <w:szCs w:val="16"/>
    </w:rPr>
  </w:style>
  <w:style w:type="paragraph" w:styleId="CommentText">
    <w:name w:val="annotation text"/>
    <w:basedOn w:val="Normal"/>
    <w:link w:val="CommentTextChar"/>
    <w:rsid w:val="006B23B9"/>
    <w:rPr>
      <w:sz w:val="20"/>
      <w:szCs w:val="20"/>
    </w:rPr>
  </w:style>
  <w:style w:type="character" w:customStyle="1" w:styleId="CommentTextChar">
    <w:name w:val="Comment Text Char"/>
    <w:basedOn w:val="DefaultParagraphFont"/>
    <w:link w:val="CommentText"/>
    <w:rsid w:val="006B23B9"/>
  </w:style>
  <w:style w:type="paragraph" w:styleId="CommentSubject">
    <w:name w:val="annotation subject"/>
    <w:basedOn w:val="CommentText"/>
    <w:next w:val="CommentText"/>
    <w:link w:val="CommentSubjectChar"/>
    <w:rsid w:val="006B23B9"/>
    <w:rPr>
      <w:b/>
      <w:bCs/>
    </w:rPr>
  </w:style>
  <w:style w:type="character" w:customStyle="1" w:styleId="CommentSubjectChar">
    <w:name w:val="Comment Subject Char"/>
    <w:basedOn w:val="CommentTextChar"/>
    <w:link w:val="CommentSubject"/>
    <w:rsid w:val="006B23B9"/>
    <w:rPr>
      <w:b/>
      <w:bCs/>
    </w:rPr>
  </w:style>
  <w:style w:type="character" w:styleId="FollowedHyperlink">
    <w:name w:val="FollowedHyperlink"/>
    <w:basedOn w:val="DefaultParagraphFont"/>
    <w:rsid w:val="00C47451"/>
    <w:rPr>
      <w:color w:val="800080" w:themeColor="followedHyperlink"/>
      <w:u w:val="single"/>
    </w:rPr>
  </w:style>
  <w:style w:type="character" w:styleId="PageNumber">
    <w:name w:val="page number"/>
    <w:basedOn w:val="DefaultParagraphFont"/>
    <w:semiHidden/>
    <w:unhideWhenUsed/>
    <w:rsid w:val="005A4937"/>
  </w:style>
  <w:style w:type="paragraph" w:styleId="Revision">
    <w:name w:val="Revision"/>
    <w:hidden/>
    <w:uiPriority w:val="99"/>
    <w:semiHidden/>
    <w:rsid w:val="00823B69"/>
    <w:rPr>
      <w:sz w:val="24"/>
      <w:szCs w:val="24"/>
    </w:rPr>
  </w:style>
  <w:style w:type="table" w:styleId="TableGrid">
    <w:name w:val="Table Grid"/>
    <w:basedOn w:val="TableNormal"/>
    <w:rsid w:val="00BD0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cupit@tfs.tam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CE591-CEBE-4C7A-A4BB-B14C75F4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1854</Words>
  <Characters>10548</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2021-11-15T15:20:00Z</dcterms:created>
  <dcterms:modified xsi:type="dcterms:W3CDTF">2021-11-15T16:54:00Z</dcterms:modified>
</cp:coreProperties>
</file>